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EA" w:rsidRPr="00630750" w:rsidRDefault="00707317" w:rsidP="000D5AEA">
      <w:pPr>
        <w:spacing w:after="0" w:line="360" w:lineRule="auto"/>
        <w:jc w:val="both"/>
        <w:rPr>
          <w:rFonts w:ascii="Palatino Linotype" w:eastAsia="Calibri" w:hAnsi="Palatino Linotype" w:cs="Arial"/>
          <w:b/>
          <w:bCs/>
          <w:sz w:val="24"/>
          <w:szCs w:val="24"/>
          <w:lang w:eastAsia="es-MX"/>
        </w:rPr>
      </w:pPr>
      <w:r w:rsidRPr="00630750">
        <w:rPr>
          <w:rFonts w:ascii="Palatino Linotype" w:eastAsia="Calibri" w:hAnsi="Palatino Linotype" w:cs="Arial"/>
          <w:b/>
          <w:sz w:val="24"/>
          <w:szCs w:val="24"/>
        </w:rPr>
        <w:t>VOTO</w:t>
      </w:r>
      <w:r w:rsidR="000D5AEA" w:rsidRPr="00630750">
        <w:rPr>
          <w:rFonts w:ascii="Palatino Linotype" w:eastAsia="Calibri" w:hAnsi="Palatino Linotype" w:cs="Arial"/>
          <w:b/>
          <w:sz w:val="24"/>
          <w:szCs w:val="24"/>
        </w:rPr>
        <w:t xml:space="preserve"> PARTICULAR DEL COMISIONADO JOSÉ GUADALUPE LUNA HERNÁNDEZ EN EL RECURSO DE REVISIÓN </w:t>
      </w:r>
      <w:r w:rsidR="00586D5D" w:rsidRPr="00630750">
        <w:rPr>
          <w:rFonts w:ascii="Palatino Linotype" w:eastAsia="Calibri" w:hAnsi="Palatino Linotype" w:cs="Arial"/>
          <w:b/>
          <w:sz w:val="24"/>
          <w:szCs w:val="24"/>
        </w:rPr>
        <w:t>02946</w:t>
      </w:r>
      <w:r w:rsidR="00F01325" w:rsidRPr="00630750">
        <w:rPr>
          <w:rFonts w:ascii="Palatino Linotype" w:eastAsia="Calibri" w:hAnsi="Palatino Linotype" w:cs="Arial"/>
          <w:b/>
          <w:sz w:val="24"/>
          <w:szCs w:val="24"/>
        </w:rPr>
        <w:t>/INFOEM/IP/RR/2018</w:t>
      </w:r>
      <w:r w:rsidR="000D5AEA" w:rsidRPr="00630750">
        <w:rPr>
          <w:rFonts w:ascii="Palatino Linotype" w:eastAsia="Calibri" w:hAnsi="Palatino Linotype" w:cs="Arial"/>
          <w:b/>
          <w:sz w:val="24"/>
          <w:szCs w:val="24"/>
        </w:rPr>
        <w:t>.</w:t>
      </w:r>
    </w:p>
    <w:p w:rsidR="000D5AEA" w:rsidRPr="00630750" w:rsidRDefault="000D5AEA" w:rsidP="000D5AEA">
      <w:pPr>
        <w:spacing w:after="0" w:line="360" w:lineRule="auto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376456" w:rsidRDefault="00E220D0" w:rsidP="00376456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0"/>
        </w:rPr>
      </w:pPr>
      <w:r w:rsidRPr="00630750">
        <w:rPr>
          <w:rFonts w:ascii="Palatino Linotype" w:eastAsia="Calibri" w:hAnsi="Palatino Linotype" w:cs="Arial"/>
          <w:b/>
          <w:sz w:val="24"/>
          <w:szCs w:val="24"/>
        </w:rPr>
        <w:t>Resumen del voto:</w:t>
      </w:r>
      <w:r w:rsidRPr="00630750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376456" w:rsidRPr="00A13BDF">
        <w:rPr>
          <w:rFonts w:ascii="Palatino Linotype" w:hAnsi="Palatino Linotype"/>
          <w:sz w:val="24"/>
          <w:szCs w:val="20"/>
        </w:rPr>
        <w:t xml:space="preserve">La fracción III </w:t>
      </w:r>
      <w:r w:rsidR="00376456">
        <w:rPr>
          <w:rFonts w:ascii="Palatino Linotype" w:hAnsi="Palatino Linotype"/>
          <w:sz w:val="24"/>
          <w:szCs w:val="20"/>
        </w:rPr>
        <w:t>del artículo 192</w:t>
      </w:r>
      <w:r w:rsidR="00C20346">
        <w:rPr>
          <w:rFonts w:ascii="Palatino Linotype" w:hAnsi="Palatino Linotype"/>
          <w:sz w:val="24"/>
          <w:szCs w:val="20"/>
        </w:rPr>
        <w:t xml:space="preserve"> de la Ley d</w:t>
      </w:r>
      <w:r w:rsidR="00C20346" w:rsidRPr="00C20346">
        <w:rPr>
          <w:rFonts w:ascii="Palatino Linotype" w:hAnsi="Palatino Linotype"/>
          <w:sz w:val="24"/>
          <w:szCs w:val="20"/>
        </w:rPr>
        <w:t xml:space="preserve">e Transparencia </w:t>
      </w:r>
      <w:r w:rsidR="00C20346">
        <w:rPr>
          <w:rFonts w:ascii="Palatino Linotype" w:hAnsi="Palatino Linotype"/>
          <w:sz w:val="24"/>
          <w:szCs w:val="20"/>
        </w:rPr>
        <w:t>y Acceso a</w:t>
      </w:r>
      <w:r w:rsidR="00C20346" w:rsidRPr="00C20346">
        <w:rPr>
          <w:rFonts w:ascii="Palatino Linotype" w:hAnsi="Palatino Linotype"/>
          <w:sz w:val="24"/>
          <w:szCs w:val="20"/>
        </w:rPr>
        <w:t xml:space="preserve"> </w:t>
      </w:r>
      <w:r w:rsidR="00C20346">
        <w:rPr>
          <w:rFonts w:ascii="Palatino Linotype" w:hAnsi="Palatino Linotype"/>
          <w:sz w:val="24"/>
          <w:szCs w:val="20"/>
        </w:rPr>
        <w:t>l</w:t>
      </w:r>
      <w:r w:rsidR="00C20346" w:rsidRPr="00C20346">
        <w:rPr>
          <w:rFonts w:ascii="Palatino Linotype" w:hAnsi="Palatino Linotype"/>
          <w:sz w:val="24"/>
          <w:szCs w:val="20"/>
        </w:rPr>
        <w:t xml:space="preserve">a Información Pública </w:t>
      </w:r>
      <w:r w:rsidR="00C20346">
        <w:rPr>
          <w:rFonts w:ascii="Palatino Linotype" w:hAnsi="Palatino Linotype"/>
          <w:sz w:val="24"/>
          <w:szCs w:val="20"/>
        </w:rPr>
        <w:t>del Estado de México y</w:t>
      </w:r>
      <w:r w:rsidR="00C20346" w:rsidRPr="00C20346">
        <w:rPr>
          <w:rFonts w:ascii="Palatino Linotype" w:hAnsi="Palatino Linotype"/>
          <w:sz w:val="24"/>
          <w:szCs w:val="20"/>
        </w:rPr>
        <w:t xml:space="preserve"> Municipios</w:t>
      </w:r>
      <w:r w:rsidR="00376456">
        <w:rPr>
          <w:rFonts w:ascii="Palatino Linotype" w:hAnsi="Palatino Linotype"/>
          <w:sz w:val="24"/>
          <w:szCs w:val="20"/>
        </w:rPr>
        <w:t xml:space="preserve">, </w:t>
      </w:r>
      <w:r w:rsidR="00376456" w:rsidRPr="00A13BDF">
        <w:rPr>
          <w:rFonts w:ascii="Palatino Linotype" w:hAnsi="Palatino Linotype"/>
          <w:sz w:val="24"/>
          <w:szCs w:val="20"/>
        </w:rPr>
        <w:t xml:space="preserve">prevé el sobreseimiento por dos circunstancias, que el sujeto obligado </w:t>
      </w:r>
      <w:r w:rsidR="00376456" w:rsidRPr="00376456">
        <w:rPr>
          <w:rFonts w:ascii="Palatino Linotype" w:hAnsi="Palatino Linotype"/>
          <w:b/>
          <w:sz w:val="24"/>
          <w:szCs w:val="20"/>
        </w:rPr>
        <w:t xml:space="preserve">modifique o revoque </w:t>
      </w:r>
      <w:r w:rsidR="00376456" w:rsidRPr="00A13BDF">
        <w:rPr>
          <w:rFonts w:ascii="Palatino Linotype" w:hAnsi="Palatino Linotype"/>
          <w:sz w:val="24"/>
          <w:szCs w:val="20"/>
        </w:rPr>
        <w:t xml:space="preserve">el acto reclamado; lo que hace que en la fracción V puedan aparecer otras que no se hayan contemplado y que sean distintas a las </w:t>
      </w:r>
      <w:r w:rsidR="00376456">
        <w:rPr>
          <w:rFonts w:ascii="Palatino Linotype" w:hAnsi="Palatino Linotype"/>
          <w:sz w:val="24"/>
          <w:szCs w:val="20"/>
        </w:rPr>
        <w:t>señaladas en la fracción III;</w:t>
      </w:r>
      <w:r w:rsidR="00376456" w:rsidRPr="00A13BDF">
        <w:rPr>
          <w:rFonts w:ascii="Palatino Linotype" w:hAnsi="Palatino Linotype"/>
          <w:sz w:val="24"/>
          <w:szCs w:val="20"/>
        </w:rPr>
        <w:t xml:space="preserve"> por ejemplo, que al momento de interponer su recurso de revisión, el recurrente impugne un acto de un sujeto obligado distinto al que conoció de su solicitud de información primigenia, o cuando derivado de una solicitud de información y ante la negativa del sujeto obligado de dar respuesta, al momento de realizar el análisis minucioso del asunto, se determina que es notoriamente incompetente el sujeto obligado para dar contestación a la solicitud y entregar la información.</w:t>
      </w:r>
    </w:p>
    <w:p w:rsidR="00376456" w:rsidRDefault="00376456" w:rsidP="00376456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</w:p>
    <w:p w:rsidR="00376456" w:rsidRPr="00630750" w:rsidRDefault="00C20346" w:rsidP="00376456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  <w:r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La resolución de mérito</w:t>
      </w:r>
      <w:r w:rsidR="00376456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, debió </w:t>
      </w:r>
      <w:r w:rsidR="0037645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resolverse conforme la fracción III</w:t>
      </w:r>
      <w:r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,</w:t>
      </w:r>
      <w:r w:rsidR="00376456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en virtud que es</w:t>
      </w:r>
      <w:r w:rsidRPr="00C2034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a hipótesis se actualiza en el caso de que el Sujeto Obligado modifique o revoque su respuesta, ya sea ampliándola en su Informe Justificado o alcance al mismo, de forma que colme la pretensión del recurrente mediante la entrega de la información completa.</w:t>
      </w:r>
    </w:p>
    <w:p w:rsidR="00D214EE" w:rsidRPr="00376456" w:rsidRDefault="00D214EE" w:rsidP="00376456">
      <w:pPr>
        <w:spacing w:after="0" w:line="360" w:lineRule="auto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D214EE" w:rsidRPr="00630750" w:rsidRDefault="00D214EE" w:rsidP="005E38D6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C382C" w:rsidRPr="00C20346" w:rsidRDefault="009C382C" w:rsidP="00C20346">
      <w:pPr>
        <w:pStyle w:val="TtulodeTDC"/>
        <w:spacing w:line="360" w:lineRule="auto"/>
        <w:jc w:val="center"/>
        <w:rPr>
          <w:rFonts w:ascii="Palatino Linotype" w:hAnsi="Palatino Linotype" w:cs="Arial"/>
          <w:b/>
          <w:color w:val="auto"/>
          <w:sz w:val="26"/>
          <w:szCs w:val="26"/>
        </w:rPr>
      </w:pPr>
      <w:r w:rsidRPr="00C20346">
        <w:rPr>
          <w:rFonts w:ascii="Palatino Linotype" w:hAnsi="Palatino Linotype" w:cs="Arial"/>
          <w:b/>
          <w:color w:val="auto"/>
          <w:sz w:val="26"/>
          <w:szCs w:val="26"/>
        </w:rPr>
        <w:lastRenderedPageBreak/>
        <w:t>Índice</w:t>
      </w:r>
    </w:p>
    <w:sdt>
      <w:sdtPr>
        <w:rPr>
          <w:rFonts w:ascii="Palatino Linotype" w:hAnsi="Palatino Linotype"/>
          <w:sz w:val="24"/>
          <w:szCs w:val="28"/>
          <w:lang w:val="es-ES"/>
        </w:rPr>
        <w:id w:val="-1628690016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:rsidR="00C20346" w:rsidRPr="00C20346" w:rsidRDefault="009C382C" w:rsidP="00C20346">
          <w:pPr>
            <w:pStyle w:val="TDC1"/>
            <w:spacing w:line="360" w:lineRule="auto"/>
            <w:rPr>
              <w:rFonts w:ascii="Palatino Linotype" w:eastAsiaTheme="minorEastAsia" w:hAnsi="Palatino Linotype"/>
              <w:noProof/>
              <w:sz w:val="26"/>
              <w:szCs w:val="26"/>
              <w:lang w:eastAsia="es-MX"/>
            </w:rPr>
          </w:pPr>
          <w:r w:rsidRPr="00C20346">
            <w:rPr>
              <w:rFonts w:ascii="Palatino Linotype" w:hAnsi="Palatino Linotype"/>
              <w:color w:val="0D0D0D" w:themeColor="text1" w:themeTint="F2"/>
              <w:sz w:val="26"/>
              <w:szCs w:val="26"/>
            </w:rPr>
            <w:fldChar w:fldCharType="begin"/>
          </w:r>
          <w:r w:rsidRPr="00C20346">
            <w:rPr>
              <w:rFonts w:ascii="Palatino Linotype" w:hAnsi="Palatino Linotype"/>
              <w:color w:val="0D0D0D" w:themeColor="text1" w:themeTint="F2"/>
              <w:sz w:val="26"/>
              <w:szCs w:val="26"/>
            </w:rPr>
            <w:instrText xml:space="preserve"> TOC \o "1-3" \h \z \u </w:instrText>
          </w:r>
          <w:r w:rsidRPr="00C20346">
            <w:rPr>
              <w:rFonts w:ascii="Palatino Linotype" w:hAnsi="Palatino Linotype"/>
              <w:color w:val="0D0D0D" w:themeColor="text1" w:themeTint="F2"/>
              <w:sz w:val="26"/>
              <w:szCs w:val="26"/>
            </w:rPr>
            <w:fldChar w:fldCharType="separate"/>
          </w:r>
          <w:hyperlink w:anchor="_Toc527381340" w:history="1">
            <w:r w:rsidR="00C20346" w:rsidRPr="00C20346">
              <w:rPr>
                <w:rStyle w:val="Hipervnculo"/>
                <w:rFonts w:ascii="Palatino Linotype" w:eastAsia="Times New Roman" w:hAnsi="Palatino Linotype"/>
                <w:b/>
                <w:noProof/>
                <w:sz w:val="26"/>
                <w:szCs w:val="26"/>
              </w:rPr>
              <w:t>I.</w:t>
            </w:r>
            <w:r w:rsidR="00C20346" w:rsidRPr="00C20346">
              <w:rPr>
                <w:rFonts w:ascii="Palatino Linotype" w:eastAsiaTheme="minorEastAsia" w:hAnsi="Palatino Linotype"/>
                <w:noProof/>
                <w:sz w:val="26"/>
                <w:szCs w:val="26"/>
                <w:lang w:eastAsia="es-MX"/>
              </w:rPr>
              <w:tab/>
            </w:r>
            <w:r w:rsidR="00C20346" w:rsidRPr="00C20346">
              <w:rPr>
                <w:rStyle w:val="Hipervnculo"/>
                <w:rFonts w:ascii="Palatino Linotype" w:eastAsia="Times New Roman" w:hAnsi="Palatino Linotype"/>
                <w:b/>
                <w:noProof/>
                <w:sz w:val="26"/>
                <w:szCs w:val="26"/>
              </w:rPr>
              <w:t>Consideraciones Generales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ab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begin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instrText xml:space="preserve"> PAGEREF _Toc527381340 \h </w:instrTex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separate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>3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20346" w:rsidRPr="00C20346" w:rsidRDefault="00F02924" w:rsidP="00C20346">
          <w:pPr>
            <w:pStyle w:val="TDC1"/>
            <w:spacing w:line="360" w:lineRule="auto"/>
            <w:rPr>
              <w:rFonts w:ascii="Palatino Linotype" w:eastAsiaTheme="minorEastAsia" w:hAnsi="Palatino Linotype"/>
              <w:noProof/>
              <w:sz w:val="26"/>
              <w:szCs w:val="26"/>
              <w:lang w:eastAsia="es-MX"/>
            </w:rPr>
          </w:pPr>
          <w:hyperlink w:anchor="_Toc527381341" w:history="1">
            <w:r w:rsidR="00C20346" w:rsidRPr="00C20346">
              <w:rPr>
                <w:rStyle w:val="Hipervnculo"/>
                <w:rFonts w:ascii="Palatino Linotype" w:eastAsia="Calibri" w:hAnsi="Palatino Linotype"/>
                <w:b/>
                <w:noProof/>
                <w:sz w:val="26"/>
                <w:szCs w:val="26"/>
                <w:lang w:val="es-ES"/>
              </w:rPr>
              <w:t>II.</w:t>
            </w:r>
            <w:r w:rsidR="00C20346" w:rsidRPr="00C20346">
              <w:rPr>
                <w:rFonts w:ascii="Palatino Linotype" w:eastAsiaTheme="minorEastAsia" w:hAnsi="Palatino Linotype"/>
                <w:noProof/>
                <w:sz w:val="26"/>
                <w:szCs w:val="26"/>
                <w:lang w:eastAsia="es-MX"/>
              </w:rPr>
              <w:tab/>
            </w:r>
            <w:r w:rsidR="00C20346" w:rsidRPr="00C20346">
              <w:rPr>
                <w:rStyle w:val="Hipervnculo"/>
                <w:rFonts w:ascii="Palatino Linotype" w:eastAsia="Calibri" w:hAnsi="Palatino Linotype"/>
                <w:b/>
                <w:noProof/>
                <w:sz w:val="26"/>
                <w:szCs w:val="26"/>
                <w:lang w:val="es-ES"/>
              </w:rPr>
              <w:t>De los requerimientos planteados en el recurso de revisión.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ab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begin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instrText xml:space="preserve"> PAGEREF _Toc527381341 \h </w:instrTex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separate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>4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20346" w:rsidRPr="00C20346" w:rsidRDefault="00F02924" w:rsidP="00C20346">
          <w:pPr>
            <w:pStyle w:val="TDC1"/>
            <w:spacing w:line="360" w:lineRule="auto"/>
            <w:rPr>
              <w:rFonts w:ascii="Palatino Linotype" w:eastAsiaTheme="minorEastAsia" w:hAnsi="Palatino Linotype"/>
              <w:noProof/>
              <w:sz w:val="26"/>
              <w:szCs w:val="26"/>
              <w:lang w:eastAsia="es-MX"/>
            </w:rPr>
          </w:pPr>
          <w:hyperlink w:anchor="_Toc527381342" w:history="1">
            <w:r w:rsidR="00C20346" w:rsidRPr="00C20346">
              <w:rPr>
                <w:rStyle w:val="Hipervnculo"/>
                <w:rFonts w:ascii="Palatino Linotype" w:eastAsia="Calibri" w:hAnsi="Palatino Linotype"/>
                <w:b/>
                <w:noProof/>
                <w:sz w:val="26"/>
                <w:szCs w:val="26"/>
              </w:rPr>
              <w:t>III.</w:t>
            </w:r>
            <w:r w:rsidR="00C20346" w:rsidRPr="00C20346">
              <w:rPr>
                <w:rFonts w:ascii="Palatino Linotype" w:eastAsiaTheme="minorEastAsia" w:hAnsi="Palatino Linotype"/>
                <w:noProof/>
                <w:sz w:val="26"/>
                <w:szCs w:val="26"/>
                <w:lang w:eastAsia="es-MX"/>
              </w:rPr>
              <w:tab/>
            </w:r>
            <w:r w:rsidR="00C20346" w:rsidRPr="00C20346">
              <w:rPr>
                <w:rStyle w:val="Hipervnculo"/>
                <w:rFonts w:ascii="Palatino Linotype" w:eastAsia="Calibri" w:hAnsi="Palatino Linotype"/>
                <w:b/>
                <w:noProof/>
                <w:sz w:val="26"/>
                <w:szCs w:val="26"/>
              </w:rPr>
              <w:t>De la causal de sobreseimiento.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ab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begin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instrText xml:space="preserve"> PAGEREF _Toc527381342 \h </w:instrTex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separate"/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t>6</w:t>
            </w:r>
            <w:r w:rsidR="00C20346" w:rsidRPr="00C20346">
              <w:rPr>
                <w:rFonts w:ascii="Palatino Linotype" w:hAnsi="Palatino Linotype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C382C" w:rsidRPr="00630750" w:rsidRDefault="009C382C" w:rsidP="00C20346">
          <w:pPr>
            <w:spacing w:line="360" w:lineRule="auto"/>
            <w:rPr>
              <w:rFonts w:ascii="Palatino Linotype" w:hAnsi="Palatino Linotype"/>
              <w:sz w:val="24"/>
              <w:szCs w:val="24"/>
            </w:rPr>
          </w:pPr>
          <w:r w:rsidRPr="00C20346">
            <w:rPr>
              <w:rFonts w:ascii="Palatino Linotype" w:hAnsi="Palatino Linotype"/>
              <w:b/>
              <w:bCs/>
              <w:color w:val="0D0D0D" w:themeColor="text1" w:themeTint="F2"/>
              <w:sz w:val="26"/>
              <w:szCs w:val="26"/>
              <w:lang w:val="es-ES"/>
            </w:rPr>
            <w:fldChar w:fldCharType="end"/>
          </w:r>
        </w:p>
      </w:sdtContent>
    </w:sdt>
    <w:p w:rsidR="008F7805" w:rsidRPr="00630750" w:rsidRDefault="008F7805" w:rsidP="008F7805">
      <w:pPr>
        <w:pStyle w:val="Ttulo1"/>
        <w:rPr>
          <w:rFonts w:ascii="Palatino Linotype" w:eastAsia="Times New Roman" w:hAnsi="Palatino Linotype"/>
          <w:b/>
          <w:sz w:val="24"/>
          <w:szCs w:val="24"/>
        </w:rPr>
      </w:pPr>
    </w:p>
    <w:bookmarkStart w:id="0" w:name="_Toc526786187"/>
    <w:bookmarkStart w:id="1" w:name="_Toc527381339"/>
    <w:p w:rsidR="008F7805" w:rsidRPr="00630750" w:rsidRDefault="00C20346" w:rsidP="008F7805">
      <w:pPr>
        <w:rPr>
          <w:rFonts w:ascii="Palatino Linotype" w:hAnsi="Palatino Linotype"/>
          <w:sz w:val="24"/>
          <w:szCs w:val="24"/>
        </w:rPr>
      </w:pPr>
      <w:r w:rsidRPr="00630750">
        <w:rPr>
          <w:rFonts w:ascii="Palatino Linotype" w:hAnsi="Palatino Linotype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A4DFD" wp14:editId="3FDEC272">
                <wp:simplePos x="0" y="0"/>
                <wp:positionH relativeFrom="column">
                  <wp:posOffset>27940</wp:posOffset>
                </wp:positionH>
                <wp:positionV relativeFrom="paragraph">
                  <wp:posOffset>9828</wp:posOffset>
                </wp:positionV>
                <wp:extent cx="5369357" cy="4476903"/>
                <wp:effectExtent l="0" t="0" r="2222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9357" cy="4476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DBB15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.75pt" to="42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bookmarkEnd w:id="0"/>
      <w:bookmarkEnd w:id="1"/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0C6443" w:rsidRPr="00630750" w:rsidRDefault="000C6443" w:rsidP="008F7805">
      <w:pPr>
        <w:rPr>
          <w:rFonts w:ascii="Palatino Linotype" w:hAnsi="Palatino Linotype"/>
          <w:sz w:val="24"/>
          <w:szCs w:val="24"/>
        </w:rPr>
      </w:pPr>
    </w:p>
    <w:p w:rsidR="000C6443" w:rsidRPr="00630750" w:rsidRDefault="000C6443" w:rsidP="008F7805">
      <w:pPr>
        <w:rPr>
          <w:rFonts w:ascii="Palatino Linotype" w:hAnsi="Palatino Linotype"/>
          <w:sz w:val="24"/>
          <w:szCs w:val="24"/>
        </w:rPr>
      </w:pPr>
    </w:p>
    <w:p w:rsidR="000C6443" w:rsidRPr="00630750" w:rsidRDefault="000C6443" w:rsidP="008F7805">
      <w:pPr>
        <w:rPr>
          <w:rFonts w:ascii="Palatino Linotype" w:hAnsi="Palatino Linotype"/>
          <w:sz w:val="24"/>
          <w:szCs w:val="24"/>
        </w:rPr>
      </w:pPr>
    </w:p>
    <w:p w:rsidR="000C6443" w:rsidRPr="00630750" w:rsidRDefault="000C6443" w:rsidP="008F7805">
      <w:pPr>
        <w:rPr>
          <w:rFonts w:ascii="Palatino Linotype" w:hAnsi="Palatino Linotype"/>
          <w:sz w:val="24"/>
          <w:szCs w:val="24"/>
        </w:rPr>
      </w:pPr>
    </w:p>
    <w:p w:rsidR="008F7805" w:rsidRPr="00630750" w:rsidRDefault="008F7805" w:rsidP="008F7805">
      <w:pPr>
        <w:rPr>
          <w:rFonts w:ascii="Palatino Linotype" w:hAnsi="Palatino Linotype"/>
          <w:sz w:val="24"/>
          <w:szCs w:val="24"/>
        </w:rPr>
      </w:pPr>
    </w:p>
    <w:p w:rsidR="000D5AEA" w:rsidRPr="00630750" w:rsidRDefault="000D5AEA" w:rsidP="00B5044C">
      <w:pPr>
        <w:pStyle w:val="Ttulo1"/>
        <w:numPr>
          <w:ilvl w:val="0"/>
          <w:numId w:val="3"/>
        </w:numPr>
        <w:rPr>
          <w:rFonts w:ascii="Palatino Linotype" w:eastAsia="Times New Roman" w:hAnsi="Palatino Linotype"/>
          <w:b/>
          <w:sz w:val="24"/>
          <w:szCs w:val="24"/>
        </w:rPr>
      </w:pPr>
      <w:bookmarkStart w:id="2" w:name="_Toc527381340"/>
      <w:r w:rsidRPr="00630750">
        <w:rPr>
          <w:rFonts w:ascii="Palatino Linotype" w:eastAsia="Times New Roman" w:hAnsi="Palatino Linotype"/>
          <w:b/>
          <w:color w:val="auto"/>
          <w:sz w:val="24"/>
          <w:szCs w:val="24"/>
        </w:rPr>
        <w:lastRenderedPageBreak/>
        <w:t>Consideraciones Generales</w:t>
      </w:r>
      <w:bookmarkEnd w:id="2"/>
    </w:p>
    <w:p w:rsidR="00B418D3" w:rsidRPr="00630750" w:rsidRDefault="00B418D3" w:rsidP="00B418D3">
      <w:pPr>
        <w:pStyle w:val="Prrafodelista"/>
        <w:keepNext/>
        <w:keepLines/>
        <w:spacing w:before="240" w:after="0"/>
        <w:ind w:left="1080"/>
        <w:outlineLvl w:val="0"/>
        <w:rPr>
          <w:rFonts w:ascii="Palatino Linotype" w:eastAsia="Times New Roman" w:hAnsi="Palatino Linotype" w:cs="Times New Roman"/>
          <w:color w:val="365F91"/>
          <w:sz w:val="24"/>
          <w:szCs w:val="24"/>
        </w:rPr>
      </w:pPr>
    </w:p>
    <w:p w:rsidR="000D5AEA" w:rsidRPr="00630750" w:rsidRDefault="00B418D3" w:rsidP="00B504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  <w:r w:rsidRPr="00630750">
        <w:rPr>
          <w:rFonts w:ascii="Palatino Linotype" w:eastAsia="Times New Roman" w:hAnsi="Palatino Linotype" w:cs="Arial"/>
          <w:sz w:val="24"/>
          <w:szCs w:val="24"/>
          <w:lang w:val="es-ES_tradnl"/>
        </w:rPr>
        <w:t>He concurrido con mi voto</w:t>
      </w:r>
      <w:r w:rsidR="000D5AEA" w:rsidRPr="00630750">
        <w:rPr>
          <w:rFonts w:ascii="Palatino Linotype" w:eastAsia="Times New Roman" w:hAnsi="Palatino Linotype" w:cs="Arial"/>
          <w:sz w:val="24"/>
          <w:szCs w:val="24"/>
          <w:lang w:val="es-ES_tradnl"/>
        </w:rPr>
        <w:t xml:space="preserve"> particular de la presente resolución emitida </w:t>
      </w:r>
      <w:r w:rsidR="000D5AEA" w:rsidRPr="00630750">
        <w:rPr>
          <w:rFonts w:ascii="Palatino Linotype" w:eastAsia="Calibri" w:hAnsi="Palatino Linotype" w:cs="Arial"/>
          <w:sz w:val="24"/>
          <w:szCs w:val="24"/>
        </w:rPr>
        <w:t xml:space="preserve">por el Pleno del Instituto de Transparencia, Acceso a la Información Pública y </w:t>
      </w:r>
      <w:r w:rsidR="000D5AEA" w:rsidRPr="00127D27">
        <w:rPr>
          <w:rFonts w:ascii="Palatino Linotype" w:eastAsia="Calibri" w:hAnsi="Palatino Linotype" w:cs="Arial"/>
          <w:sz w:val="24"/>
          <w:szCs w:val="24"/>
        </w:rPr>
        <w:t xml:space="preserve">Protección de Datos Personales del Estado de México y Municipios, en su </w:t>
      </w:r>
      <w:r w:rsidR="005E38D6" w:rsidRPr="00127D27">
        <w:rPr>
          <w:rFonts w:ascii="Palatino Linotype" w:eastAsia="Calibri" w:hAnsi="Palatino Linotype" w:cs="Arial"/>
          <w:sz w:val="24"/>
          <w:szCs w:val="24"/>
        </w:rPr>
        <w:t>Trigésima</w:t>
      </w:r>
      <w:r w:rsidR="004B0239" w:rsidRPr="00127D27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586D5D" w:rsidRPr="00127D27">
        <w:rPr>
          <w:rFonts w:ascii="Palatino Linotype" w:eastAsia="Calibri" w:hAnsi="Palatino Linotype" w:cs="Arial"/>
          <w:sz w:val="24"/>
          <w:szCs w:val="24"/>
        </w:rPr>
        <w:t>Séptima</w:t>
      </w:r>
      <w:r w:rsidR="001759E6" w:rsidRPr="00127D27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4137A7" w:rsidRPr="00127D27">
        <w:rPr>
          <w:rFonts w:ascii="Palatino Linotype" w:eastAsia="Calibri" w:hAnsi="Palatino Linotype" w:cs="Arial"/>
          <w:sz w:val="24"/>
          <w:szCs w:val="24"/>
        </w:rPr>
        <w:t xml:space="preserve">Sesión </w:t>
      </w:r>
      <w:r w:rsidR="004B0239" w:rsidRPr="00127D27">
        <w:rPr>
          <w:rFonts w:ascii="Palatino Linotype" w:eastAsia="Calibri" w:hAnsi="Palatino Linotype" w:cs="Arial"/>
          <w:sz w:val="24"/>
          <w:szCs w:val="24"/>
        </w:rPr>
        <w:t xml:space="preserve">Ordinaria </w:t>
      </w:r>
      <w:r w:rsidR="004137A7" w:rsidRPr="00127D27">
        <w:rPr>
          <w:rFonts w:ascii="Palatino Linotype" w:eastAsia="Calibri" w:hAnsi="Palatino Linotype" w:cs="Arial"/>
          <w:sz w:val="24"/>
          <w:szCs w:val="24"/>
        </w:rPr>
        <w:t xml:space="preserve">celebrada el </w:t>
      </w:r>
      <w:r w:rsidR="004B0239" w:rsidRPr="00127D27">
        <w:rPr>
          <w:rFonts w:ascii="Palatino Linotype" w:eastAsia="Calibri" w:hAnsi="Palatino Linotype" w:cs="Arial"/>
          <w:sz w:val="24"/>
          <w:szCs w:val="24"/>
        </w:rPr>
        <w:t xml:space="preserve">del día </w:t>
      </w:r>
      <w:r w:rsidR="00586D5D" w:rsidRPr="00127D27">
        <w:rPr>
          <w:rFonts w:ascii="Palatino Linotype" w:eastAsia="Calibri" w:hAnsi="Palatino Linotype" w:cs="Arial"/>
          <w:sz w:val="24"/>
          <w:szCs w:val="24"/>
        </w:rPr>
        <w:t>diez</w:t>
      </w:r>
      <w:r w:rsidR="004B0239" w:rsidRPr="00127D27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5E38D6" w:rsidRPr="00127D27">
        <w:rPr>
          <w:rFonts w:ascii="Palatino Linotype" w:eastAsia="Calibri" w:hAnsi="Palatino Linotype" w:cs="Arial"/>
          <w:sz w:val="24"/>
          <w:szCs w:val="24"/>
        </w:rPr>
        <w:t>(</w:t>
      </w:r>
      <w:r w:rsidR="00586D5D" w:rsidRPr="00127D27">
        <w:rPr>
          <w:rFonts w:ascii="Palatino Linotype" w:eastAsia="Calibri" w:hAnsi="Palatino Linotype" w:cs="Arial"/>
          <w:sz w:val="24"/>
          <w:szCs w:val="24"/>
        </w:rPr>
        <w:t>10</w:t>
      </w:r>
      <w:r w:rsidR="004137A7" w:rsidRPr="00127D27">
        <w:rPr>
          <w:rFonts w:ascii="Palatino Linotype" w:eastAsia="Calibri" w:hAnsi="Palatino Linotype" w:cs="Arial"/>
          <w:sz w:val="24"/>
          <w:szCs w:val="24"/>
        </w:rPr>
        <w:t>)</w:t>
      </w:r>
      <w:r w:rsidR="004B0239" w:rsidRPr="00127D27">
        <w:rPr>
          <w:rFonts w:ascii="Palatino Linotype" w:eastAsia="Calibri" w:hAnsi="Palatino Linotype" w:cs="Arial"/>
          <w:sz w:val="24"/>
          <w:szCs w:val="24"/>
        </w:rPr>
        <w:t xml:space="preserve"> de</w:t>
      </w:r>
      <w:r w:rsidR="004137A7" w:rsidRPr="00127D27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F01325" w:rsidRPr="00127D27">
        <w:rPr>
          <w:rFonts w:ascii="Palatino Linotype" w:eastAsia="Calibri" w:hAnsi="Palatino Linotype" w:cs="Arial"/>
          <w:sz w:val="24"/>
          <w:szCs w:val="24"/>
        </w:rPr>
        <w:t>octu</w:t>
      </w:r>
      <w:r w:rsidR="001759E6" w:rsidRPr="00127D27">
        <w:rPr>
          <w:rFonts w:ascii="Palatino Linotype" w:eastAsia="Calibri" w:hAnsi="Palatino Linotype" w:cs="Arial"/>
          <w:sz w:val="24"/>
          <w:szCs w:val="24"/>
        </w:rPr>
        <w:t>bre</w:t>
      </w:r>
      <w:r w:rsidR="004137A7" w:rsidRPr="00127D27">
        <w:rPr>
          <w:rFonts w:ascii="Palatino Linotype" w:eastAsia="Calibri" w:hAnsi="Palatino Linotype" w:cs="Arial"/>
          <w:sz w:val="24"/>
          <w:szCs w:val="24"/>
        </w:rPr>
        <w:t xml:space="preserve"> de </w:t>
      </w:r>
      <w:r w:rsidR="00032D26" w:rsidRPr="00630750">
        <w:rPr>
          <w:rFonts w:ascii="Palatino Linotype" w:eastAsia="Calibri" w:hAnsi="Palatino Linotype" w:cs="Arial"/>
          <w:sz w:val="24"/>
          <w:szCs w:val="24"/>
        </w:rPr>
        <w:t>la presenta anualidad</w:t>
      </w:r>
      <w:r w:rsidR="004B0239" w:rsidRPr="00630750">
        <w:rPr>
          <w:rFonts w:ascii="Palatino Linotype" w:eastAsia="Calibri" w:hAnsi="Palatino Linotype" w:cs="Arial"/>
          <w:sz w:val="24"/>
          <w:szCs w:val="24"/>
        </w:rPr>
        <w:t>, en el recurso de revisión</w:t>
      </w:r>
      <w:r w:rsidR="000D5AEA" w:rsidRPr="00630750">
        <w:rPr>
          <w:rFonts w:ascii="Palatino Linotype" w:eastAsia="Calibri" w:hAnsi="Palatino Linotype" w:cs="Arial"/>
          <w:sz w:val="24"/>
          <w:szCs w:val="24"/>
        </w:rPr>
        <w:t xml:space="preserve"> interpuesto </w:t>
      </w:r>
      <w:r w:rsidR="004B0239" w:rsidRPr="00630750">
        <w:rPr>
          <w:rFonts w:ascii="Palatino Linotype" w:eastAsia="Calibri" w:hAnsi="Palatino Linotype" w:cs="Arial"/>
          <w:sz w:val="24"/>
          <w:szCs w:val="24"/>
        </w:rPr>
        <w:t>por</w:t>
      </w:r>
      <w:r w:rsidR="004B0239" w:rsidRPr="00630750">
        <w:rPr>
          <w:rFonts w:ascii="Palatino Linotype" w:hAnsi="Palatino Linotype"/>
          <w:b/>
          <w:sz w:val="24"/>
          <w:szCs w:val="24"/>
        </w:rPr>
        <w:t xml:space="preserve"> </w:t>
      </w:r>
      <w:r w:rsidR="00776C53" w:rsidRPr="00776C53">
        <w:rPr>
          <w:rFonts w:ascii="Palatino Linotype" w:eastAsia="Times New Roman" w:hAnsi="Palatino Linotype" w:cs="Arial"/>
          <w:b/>
          <w:sz w:val="24"/>
          <w:szCs w:val="24"/>
          <w:highlight w:val="black"/>
          <w:lang w:val="es-ES" w:eastAsia="es-ES"/>
        </w:rPr>
        <w:t>---------------------</w:t>
      </w:r>
      <w:r w:rsidR="00586D5D" w:rsidRPr="00776C53">
        <w:rPr>
          <w:rFonts w:ascii="Palatino Linotype" w:eastAsia="Times New Roman" w:hAnsi="Palatino Linotype" w:cs="Arial"/>
          <w:b/>
          <w:sz w:val="24"/>
          <w:szCs w:val="24"/>
          <w:highlight w:val="black"/>
          <w:lang w:val="es-ES" w:eastAsia="es-ES"/>
        </w:rPr>
        <w:t xml:space="preserve"> </w:t>
      </w:r>
      <w:r w:rsidR="00776C53" w:rsidRPr="00776C53">
        <w:rPr>
          <w:rFonts w:ascii="Palatino Linotype" w:eastAsia="Times New Roman" w:hAnsi="Palatino Linotype" w:cs="Arial"/>
          <w:b/>
          <w:sz w:val="24"/>
          <w:szCs w:val="24"/>
          <w:highlight w:val="black"/>
          <w:lang w:val="es-ES" w:eastAsia="es-ES"/>
        </w:rPr>
        <w:t>-------------------------------</w:t>
      </w:r>
      <w:r w:rsidR="004B0239" w:rsidRPr="00630750">
        <w:rPr>
          <w:rFonts w:ascii="Palatino Linotype" w:eastAsia="Calibri" w:hAnsi="Palatino Linotype" w:cs="Arial"/>
          <w:sz w:val="24"/>
          <w:szCs w:val="24"/>
        </w:rPr>
        <w:t>, en contra de la respuesta del</w:t>
      </w:r>
      <w:r w:rsidR="00E469EB" w:rsidRPr="0063075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581E2F" w:rsidRPr="0063075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Ayuntamiento de </w:t>
      </w:r>
      <w:proofErr w:type="spellStart"/>
      <w:r w:rsidR="00586D5D" w:rsidRPr="0063075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Temascalcingo</w:t>
      </w:r>
      <w:proofErr w:type="spellEnd"/>
      <w:r w:rsidR="00E469EB" w:rsidRPr="0063075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,</w:t>
      </w:r>
      <w:r w:rsidR="000D5AEA" w:rsidRPr="00630750">
        <w:rPr>
          <w:rFonts w:ascii="Palatino Linotype" w:eastAsia="Calibri" w:hAnsi="Palatino Linotype" w:cs="Arial"/>
          <w:b/>
          <w:sz w:val="24"/>
          <w:szCs w:val="24"/>
        </w:rPr>
        <w:t xml:space="preserve"> </w:t>
      </w:r>
      <w:r w:rsidR="000D5AEA" w:rsidRPr="00630750">
        <w:rPr>
          <w:rFonts w:ascii="Palatino Linotype" w:eastAsia="Calibri" w:hAnsi="Palatino Linotype" w:cs="Arial"/>
          <w:sz w:val="24"/>
          <w:szCs w:val="24"/>
        </w:rPr>
        <w:t>pro</w:t>
      </w:r>
      <w:r w:rsidR="00902FFF" w:rsidRPr="00630750">
        <w:rPr>
          <w:rFonts w:ascii="Palatino Linotype" w:eastAsia="Calibri" w:hAnsi="Palatino Linotype" w:cs="Arial"/>
          <w:sz w:val="24"/>
          <w:szCs w:val="24"/>
        </w:rPr>
        <w:t xml:space="preserve">cedimiento que le fue asignado </w:t>
      </w:r>
      <w:r w:rsidR="00581E2F" w:rsidRPr="00630750">
        <w:rPr>
          <w:rFonts w:ascii="Palatino Linotype" w:eastAsia="Calibri" w:hAnsi="Palatino Linotype" w:cs="Arial"/>
          <w:sz w:val="24"/>
          <w:szCs w:val="24"/>
        </w:rPr>
        <w:t>e</w:t>
      </w:r>
      <w:r w:rsidR="000D5AEA" w:rsidRPr="00630750">
        <w:rPr>
          <w:rFonts w:ascii="Palatino Linotype" w:eastAsia="Calibri" w:hAnsi="Palatino Linotype" w:cs="Arial"/>
          <w:sz w:val="24"/>
          <w:szCs w:val="24"/>
        </w:rPr>
        <w:t>l número</w:t>
      </w:r>
      <w:r w:rsidR="004B0239" w:rsidRPr="00630750">
        <w:rPr>
          <w:rFonts w:ascii="Palatino Linotype" w:eastAsia="Calibri" w:hAnsi="Palatino Linotype" w:cs="Arial"/>
          <w:sz w:val="24"/>
          <w:szCs w:val="24"/>
        </w:rPr>
        <w:t xml:space="preserve"> de expediente </w:t>
      </w:r>
      <w:r w:rsidR="00586D5D" w:rsidRPr="00630750">
        <w:rPr>
          <w:rFonts w:ascii="Palatino Linotype" w:hAnsi="Palatino Linotype"/>
          <w:b/>
          <w:sz w:val="24"/>
          <w:szCs w:val="24"/>
        </w:rPr>
        <w:t>02946/INFOEM/IP/RR/2018</w:t>
      </w:r>
      <w:r w:rsidR="000D5AEA" w:rsidRPr="00630750">
        <w:rPr>
          <w:rFonts w:ascii="Palatino Linotype" w:eastAsia="Calibri" w:hAnsi="Palatino Linotype" w:cs="Arial"/>
          <w:b/>
          <w:sz w:val="24"/>
          <w:szCs w:val="24"/>
        </w:rPr>
        <w:t>.</w:t>
      </w:r>
    </w:p>
    <w:p w:rsidR="000D5AEA" w:rsidRPr="00630750" w:rsidRDefault="000D5AEA" w:rsidP="000D5AEA">
      <w:pPr>
        <w:spacing w:after="0" w:line="360" w:lineRule="auto"/>
        <w:ind w:left="426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362134" w:rsidRPr="00630750" w:rsidRDefault="000D5AEA" w:rsidP="003621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  <w:r w:rsidRPr="00630750">
        <w:rPr>
          <w:rFonts w:ascii="Palatino Linotype" w:eastAsia="Calibri" w:hAnsi="Palatino Linotype" w:cs="Arial"/>
          <w:sz w:val="24"/>
          <w:szCs w:val="24"/>
        </w:rPr>
        <w:t>L</w:t>
      </w:r>
      <w:r w:rsidR="004B0239" w:rsidRPr="00630750">
        <w:rPr>
          <w:rFonts w:ascii="Palatino Linotype" w:eastAsia="Calibri" w:hAnsi="Palatino Linotype" w:cs="Arial"/>
          <w:sz w:val="24"/>
          <w:szCs w:val="24"/>
        </w:rPr>
        <w:t xml:space="preserve">a resolución </w:t>
      </w:r>
      <w:r w:rsidR="00362134" w:rsidRPr="00630750">
        <w:rPr>
          <w:rFonts w:ascii="Palatino Linotype" w:eastAsia="Calibri" w:hAnsi="Palatino Linotype" w:cs="Arial"/>
          <w:sz w:val="24"/>
          <w:szCs w:val="24"/>
        </w:rPr>
        <w:t>determino</w:t>
      </w:r>
      <w:r w:rsidR="00362134" w:rsidRPr="00630750">
        <w:rPr>
          <w:rFonts w:ascii="Palatino Linotype" w:hAnsi="Palatino Linotype" w:cs="Arial"/>
          <w:sz w:val="24"/>
          <w:szCs w:val="24"/>
          <w:lang w:val="es-ES_tradnl"/>
        </w:rPr>
        <w:t>, que toda vez que había sido entregada al</w:t>
      </w:r>
      <w:r w:rsidR="00362134" w:rsidRPr="0063075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62134" w:rsidRPr="00630750">
        <w:rPr>
          <w:rFonts w:ascii="Palatino Linotype" w:hAnsi="Palatino Linotype" w:cs="Arial"/>
          <w:sz w:val="24"/>
          <w:szCs w:val="24"/>
        </w:rPr>
        <w:t>recurrente</w:t>
      </w:r>
      <w:r w:rsidR="00362134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la información requerida </w:t>
      </w:r>
      <w:r w:rsidR="00362134" w:rsidRPr="00630750">
        <w:rPr>
          <w:rFonts w:ascii="Palatino Linotype" w:hAnsi="Palatino Linotype"/>
          <w:bCs/>
          <w:sz w:val="24"/>
          <w:szCs w:val="24"/>
        </w:rPr>
        <w:t xml:space="preserve">mediante </w:t>
      </w:r>
      <w:r w:rsidR="00362134" w:rsidRPr="00630750">
        <w:rPr>
          <w:rFonts w:ascii="Palatino Linotype" w:hAnsi="Palatino Linotype" w:cs="Arial"/>
          <w:sz w:val="24"/>
          <w:szCs w:val="24"/>
        </w:rPr>
        <w:t>un</w:t>
      </w:r>
      <w:r w:rsidR="00362134" w:rsidRPr="00630750">
        <w:rPr>
          <w:rFonts w:ascii="Palatino Linotype" w:hAnsi="Palatino Linotype"/>
          <w:bCs/>
          <w:sz w:val="24"/>
          <w:szCs w:val="24"/>
        </w:rPr>
        <w:t xml:space="preserve"> acto posterior como el Informe Justificado, se tiene entonces por </w:t>
      </w:r>
      <w:r w:rsidR="00362134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satisfecho el derecho humano de acceso a la información pública del particular, </w:t>
      </w:r>
      <w:r w:rsidR="00362134" w:rsidRPr="00630750">
        <w:rPr>
          <w:rFonts w:ascii="Palatino Linotype" w:hAnsi="Palatino Linotype" w:cs="Arial"/>
          <w:sz w:val="24"/>
          <w:szCs w:val="24"/>
        </w:rPr>
        <w:t>dejando sin materia la solicitud de información</w:t>
      </w:r>
      <w:r w:rsidR="00362134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identificada con el </w:t>
      </w:r>
      <w:r w:rsidR="00362134" w:rsidRPr="00630750">
        <w:rPr>
          <w:rFonts w:ascii="Palatino Linotype" w:hAnsi="Palatino Linotype" w:cs="Arial"/>
          <w:snapToGrid w:val="0"/>
          <w:sz w:val="24"/>
          <w:szCs w:val="24"/>
        </w:rPr>
        <w:t xml:space="preserve">número </w:t>
      </w:r>
      <w:r w:rsidR="00362134" w:rsidRPr="00630750">
        <w:rPr>
          <w:rFonts w:ascii="Palatino Linotype" w:hAnsi="Palatino Linotype"/>
          <w:bCs/>
          <w:sz w:val="24"/>
          <w:szCs w:val="24"/>
        </w:rPr>
        <w:t>00022/TMASCALC/IP/2018.</w:t>
      </w:r>
    </w:p>
    <w:p w:rsidR="00362134" w:rsidRPr="00630750" w:rsidRDefault="00362134" w:rsidP="00362134">
      <w:pPr>
        <w:pStyle w:val="Prrafodelista"/>
        <w:rPr>
          <w:rFonts w:ascii="Palatino Linotype" w:hAnsi="Palatino Linotype"/>
          <w:b/>
          <w:bCs/>
          <w:sz w:val="24"/>
          <w:szCs w:val="24"/>
        </w:rPr>
      </w:pPr>
    </w:p>
    <w:p w:rsidR="00362134" w:rsidRPr="00630750" w:rsidRDefault="00362134" w:rsidP="003621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color w:val="000000"/>
          <w:sz w:val="24"/>
          <w:szCs w:val="24"/>
        </w:rPr>
      </w:pPr>
      <w:r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Motivo por el cual, la Ponencia </w:t>
      </w:r>
      <w:proofErr w:type="spellStart"/>
      <w:r w:rsidRPr="00630750">
        <w:rPr>
          <w:rFonts w:ascii="Palatino Linotype" w:hAnsi="Palatino Linotype" w:cs="Arial"/>
          <w:sz w:val="24"/>
          <w:szCs w:val="24"/>
          <w:lang w:val="es-ES_tradnl"/>
        </w:rPr>
        <w:t>Resolutora</w:t>
      </w:r>
      <w:proofErr w:type="spellEnd"/>
      <w:r w:rsidRPr="00630750">
        <w:rPr>
          <w:rFonts w:ascii="Palatino Linotype" w:hAnsi="Palatino Linotype"/>
          <w:color w:val="000000" w:themeColor="text1"/>
          <w:sz w:val="24"/>
          <w:szCs w:val="24"/>
        </w:rPr>
        <w:t xml:space="preserve"> advirtió que en el presente caso, se actualizaba entonces la hipótesis prevista en </w:t>
      </w:r>
      <w:r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el </w:t>
      </w:r>
      <w:r w:rsidRPr="00630750">
        <w:rPr>
          <w:rFonts w:ascii="Palatino Linotype" w:hAnsi="Palatino Linotype"/>
          <w:color w:val="000000" w:themeColor="text1"/>
          <w:sz w:val="24"/>
          <w:szCs w:val="24"/>
        </w:rPr>
        <w:t>artículo 192 fracción III de</w:t>
      </w:r>
      <w:r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la </w:t>
      </w:r>
      <w:r w:rsidRPr="00630750">
        <w:rPr>
          <w:rFonts w:ascii="Palatino Linotype" w:hAnsi="Palatino Linotype"/>
          <w:sz w:val="24"/>
          <w:szCs w:val="24"/>
        </w:rPr>
        <w:t xml:space="preserve">Ley de Transparencia y Acceso a la Información Pública del Estado de México y Municipios, </w:t>
      </w:r>
      <w:r w:rsidR="00630750">
        <w:rPr>
          <w:rFonts w:ascii="Palatino Linotype" w:hAnsi="Palatino Linotype"/>
          <w:color w:val="000000" w:themeColor="text1"/>
          <w:sz w:val="24"/>
          <w:szCs w:val="24"/>
        </w:rPr>
        <w:t>la cual</w:t>
      </w:r>
      <w:r w:rsidRPr="00630750">
        <w:rPr>
          <w:rFonts w:ascii="Palatino Linotype" w:hAnsi="Palatino Linotype"/>
          <w:color w:val="000000" w:themeColor="text1"/>
          <w:sz w:val="24"/>
          <w:szCs w:val="24"/>
        </w:rPr>
        <w:t xml:space="preserve"> dispone lo siguiente: </w:t>
      </w:r>
    </w:p>
    <w:p w:rsidR="00362134" w:rsidRPr="00630750" w:rsidRDefault="00362134" w:rsidP="00362134">
      <w:pPr>
        <w:spacing w:before="120" w:after="120"/>
        <w:ind w:left="709" w:right="709"/>
        <w:jc w:val="both"/>
        <w:rPr>
          <w:rFonts w:ascii="Palatino Linotype" w:hAnsi="Palatino Linotype" w:cs="Arial"/>
          <w:i/>
          <w:sz w:val="24"/>
          <w:szCs w:val="24"/>
        </w:rPr>
      </w:pPr>
      <w:r w:rsidRPr="00630750">
        <w:rPr>
          <w:rFonts w:ascii="Palatino Linotype" w:hAnsi="Palatino Linotype" w:cs="Arial"/>
          <w:i/>
          <w:sz w:val="24"/>
          <w:szCs w:val="24"/>
        </w:rPr>
        <w:lastRenderedPageBreak/>
        <w:t>“</w:t>
      </w:r>
      <w:r w:rsidRPr="00630750">
        <w:rPr>
          <w:rFonts w:ascii="Palatino Linotype" w:hAnsi="Palatino Linotype" w:cs="Arial"/>
          <w:b/>
          <w:i/>
          <w:sz w:val="24"/>
          <w:szCs w:val="24"/>
        </w:rPr>
        <w:t>Artículo 192.</w:t>
      </w:r>
      <w:r w:rsidRPr="00630750">
        <w:rPr>
          <w:rFonts w:ascii="Palatino Linotype" w:hAnsi="Palatino Linotype" w:cs="Arial"/>
          <w:i/>
          <w:sz w:val="24"/>
          <w:szCs w:val="24"/>
        </w:rPr>
        <w:t xml:space="preserve"> </w:t>
      </w:r>
      <w:r w:rsidRPr="00630750">
        <w:rPr>
          <w:rFonts w:ascii="Palatino Linotype" w:hAnsi="Palatino Linotype" w:cs="Arial"/>
          <w:b/>
          <w:i/>
          <w:sz w:val="24"/>
          <w:szCs w:val="24"/>
          <w:u w:val="single"/>
        </w:rPr>
        <w:t>El recurso será sobreseído</w:t>
      </w:r>
      <w:r w:rsidRPr="00630750">
        <w:rPr>
          <w:rFonts w:ascii="Palatino Linotype" w:hAnsi="Palatino Linotype" w:cs="Arial"/>
          <w:i/>
          <w:sz w:val="24"/>
          <w:szCs w:val="24"/>
        </w:rPr>
        <w:t xml:space="preserve">, en todo o en parte, </w:t>
      </w:r>
      <w:r w:rsidRPr="00630750">
        <w:rPr>
          <w:rFonts w:ascii="Palatino Linotype" w:hAnsi="Palatino Linotype" w:cs="Arial"/>
          <w:b/>
          <w:i/>
          <w:sz w:val="24"/>
          <w:szCs w:val="24"/>
          <w:u w:val="single"/>
        </w:rPr>
        <w:t>cuando una vez admitido</w:t>
      </w:r>
      <w:r w:rsidRPr="00630750">
        <w:rPr>
          <w:rFonts w:ascii="Palatino Linotype" w:hAnsi="Palatino Linotype" w:cs="Arial"/>
          <w:i/>
          <w:sz w:val="24"/>
          <w:szCs w:val="24"/>
        </w:rPr>
        <w:t>, se actualicen alguno de los siguientes supuestos:</w:t>
      </w:r>
    </w:p>
    <w:p w:rsidR="00362134" w:rsidRPr="00630750" w:rsidRDefault="00362134" w:rsidP="00362134">
      <w:pPr>
        <w:spacing w:before="120" w:after="120"/>
        <w:ind w:left="709" w:right="709"/>
        <w:jc w:val="both"/>
        <w:rPr>
          <w:rFonts w:ascii="Palatino Linotype" w:hAnsi="Palatino Linotype" w:cs="Arial"/>
          <w:i/>
          <w:sz w:val="24"/>
          <w:szCs w:val="24"/>
        </w:rPr>
      </w:pPr>
      <w:r w:rsidRPr="00630750">
        <w:rPr>
          <w:rFonts w:ascii="Palatino Linotype" w:hAnsi="Palatino Linotype" w:cs="Arial"/>
          <w:i/>
          <w:sz w:val="24"/>
          <w:szCs w:val="24"/>
        </w:rPr>
        <w:t>[…]</w:t>
      </w:r>
    </w:p>
    <w:p w:rsidR="00362134" w:rsidRPr="00630750" w:rsidRDefault="00362134" w:rsidP="00362134">
      <w:pPr>
        <w:spacing w:before="120" w:after="120"/>
        <w:ind w:left="709" w:right="709"/>
        <w:jc w:val="both"/>
        <w:rPr>
          <w:rFonts w:ascii="Palatino Linotype" w:hAnsi="Palatino Linotype" w:cs="Arial"/>
          <w:b/>
          <w:i/>
          <w:sz w:val="24"/>
          <w:szCs w:val="24"/>
        </w:rPr>
      </w:pPr>
      <w:r w:rsidRPr="00630750">
        <w:rPr>
          <w:rFonts w:ascii="Palatino Linotype" w:hAnsi="Palatino Linotype" w:cs="Arial"/>
          <w:b/>
          <w:i/>
          <w:sz w:val="24"/>
          <w:szCs w:val="24"/>
        </w:rPr>
        <w:t xml:space="preserve">III. </w:t>
      </w:r>
      <w:r w:rsidRPr="00630750">
        <w:rPr>
          <w:rFonts w:ascii="Palatino Linotype" w:hAnsi="Palatino Linotype" w:cs="Arial"/>
          <w:b/>
          <w:i/>
          <w:sz w:val="24"/>
          <w:szCs w:val="24"/>
          <w:u w:val="single"/>
        </w:rPr>
        <w:t>El sujeto obligado responsable del acto lo modifique</w:t>
      </w:r>
      <w:r w:rsidRPr="00630750">
        <w:rPr>
          <w:rFonts w:ascii="Palatino Linotype" w:hAnsi="Palatino Linotype" w:cs="Arial"/>
          <w:b/>
          <w:i/>
          <w:sz w:val="24"/>
          <w:szCs w:val="24"/>
        </w:rPr>
        <w:t xml:space="preserve"> </w:t>
      </w:r>
      <w:r w:rsidRPr="00630750">
        <w:rPr>
          <w:rFonts w:ascii="Palatino Linotype" w:hAnsi="Palatino Linotype" w:cs="Arial"/>
          <w:i/>
          <w:sz w:val="24"/>
          <w:szCs w:val="24"/>
        </w:rPr>
        <w:t xml:space="preserve">o revoque </w:t>
      </w:r>
      <w:r w:rsidRPr="00630750">
        <w:rPr>
          <w:rFonts w:ascii="Palatino Linotype" w:hAnsi="Palatino Linotype" w:cs="Arial"/>
          <w:b/>
          <w:i/>
          <w:sz w:val="24"/>
          <w:szCs w:val="24"/>
          <w:u w:val="single"/>
        </w:rPr>
        <w:t>de tal manera que el recurso de revisión quede sin materia</w:t>
      </w:r>
      <w:r w:rsidRPr="00630750">
        <w:rPr>
          <w:rFonts w:ascii="Palatino Linotype" w:hAnsi="Palatino Linotype" w:cs="Arial"/>
          <w:i/>
          <w:sz w:val="24"/>
          <w:szCs w:val="24"/>
        </w:rPr>
        <w:t>;”</w:t>
      </w:r>
    </w:p>
    <w:p w:rsidR="00630750" w:rsidRDefault="00630750" w:rsidP="00362134">
      <w:pPr>
        <w:spacing w:before="120" w:after="120"/>
        <w:ind w:left="709" w:right="709"/>
        <w:jc w:val="both"/>
        <w:rPr>
          <w:rFonts w:ascii="Palatino Linotype" w:hAnsi="Palatino Linotype" w:cs="Arial"/>
          <w:sz w:val="24"/>
          <w:szCs w:val="24"/>
        </w:rPr>
      </w:pPr>
    </w:p>
    <w:p w:rsidR="00362134" w:rsidRPr="00630750" w:rsidRDefault="00362134" w:rsidP="00362134">
      <w:pPr>
        <w:spacing w:before="120" w:after="120"/>
        <w:ind w:left="709" w:right="709"/>
        <w:jc w:val="both"/>
        <w:rPr>
          <w:rFonts w:ascii="Palatino Linotype" w:hAnsi="Palatino Linotype" w:cs="Arial"/>
          <w:sz w:val="24"/>
          <w:szCs w:val="24"/>
        </w:rPr>
      </w:pPr>
      <w:r w:rsidRPr="00630750">
        <w:rPr>
          <w:rFonts w:ascii="Palatino Linotype" w:hAnsi="Palatino Linotype" w:cs="Arial"/>
          <w:sz w:val="24"/>
          <w:szCs w:val="24"/>
        </w:rPr>
        <w:t>(Énfasis añadido)</w:t>
      </w:r>
    </w:p>
    <w:p w:rsidR="00362134" w:rsidRPr="00630750" w:rsidRDefault="00362134" w:rsidP="00362134">
      <w:pPr>
        <w:spacing w:after="0" w:line="360" w:lineRule="auto"/>
        <w:ind w:left="360"/>
        <w:contextualSpacing/>
        <w:jc w:val="both"/>
        <w:rPr>
          <w:rFonts w:ascii="Palatino Linotype" w:hAnsi="Palatino Linotype" w:cs="Arial"/>
          <w:bCs/>
          <w:sz w:val="24"/>
          <w:szCs w:val="24"/>
          <w:shd w:val="clear" w:color="auto" w:fill="FFFFFF"/>
        </w:rPr>
      </w:pPr>
    </w:p>
    <w:p w:rsidR="00362134" w:rsidRPr="00630750" w:rsidRDefault="00362134" w:rsidP="0036213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 w:cs="Arial"/>
          <w:bCs/>
          <w:sz w:val="24"/>
          <w:szCs w:val="24"/>
          <w:shd w:val="clear" w:color="auto" w:fill="FFFFFF"/>
        </w:rPr>
      </w:pPr>
      <w:r w:rsidRPr="00630750">
        <w:rPr>
          <w:rFonts w:ascii="Palatino Linotype" w:hAnsi="Palatino Linotype"/>
          <w:color w:val="000000"/>
          <w:sz w:val="24"/>
          <w:szCs w:val="24"/>
        </w:rPr>
        <w:t xml:space="preserve">En consecuencia, </w:t>
      </w:r>
      <w:r w:rsidRPr="00630750">
        <w:rPr>
          <w:rFonts w:ascii="Palatino Linotype" w:hAnsi="Palatino Linotype"/>
          <w:sz w:val="24"/>
          <w:szCs w:val="24"/>
        </w:rPr>
        <w:t xml:space="preserve">se </w:t>
      </w:r>
      <w:r w:rsidRPr="00630750">
        <w:rPr>
          <w:rFonts w:ascii="Palatino Linotype" w:hAnsi="Palatino Linotype" w:cs="Arial"/>
          <w:sz w:val="24"/>
          <w:szCs w:val="24"/>
          <w:lang w:val="es-ES_tradnl"/>
        </w:rPr>
        <w:t>d</w:t>
      </w:r>
      <w:bookmarkStart w:id="3" w:name="_GoBack"/>
      <w:bookmarkEnd w:id="3"/>
      <w:r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etermino sobreseer el recurso de revisión de referencia, en </w:t>
      </w:r>
      <w:r w:rsidRPr="00630750">
        <w:rPr>
          <w:rFonts w:ascii="Palatino Linotype" w:hAnsi="Palatino Linotype"/>
          <w:bCs/>
          <w:sz w:val="24"/>
          <w:szCs w:val="24"/>
        </w:rPr>
        <w:t>términos</w:t>
      </w:r>
      <w:r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del artículo 186 fracción I de la </w:t>
      </w:r>
      <w:r w:rsidRPr="00630750">
        <w:rPr>
          <w:rFonts w:ascii="Palatino Linotype" w:eastAsia="Calibri" w:hAnsi="Palatino Linotype" w:cs="Arial"/>
          <w:sz w:val="24"/>
          <w:szCs w:val="24"/>
        </w:rPr>
        <w:t>Ley de Transparencia y Acceso a la Información Pública del Estado de México y Municipios. Aspecto que ciertamente se comparte</w:t>
      </w:r>
      <w:r w:rsidR="00630750">
        <w:rPr>
          <w:rFonts w:ascii="Palatino Linotype" w:eastAsia="Calibri" w:hAnsi="Palatino Linotype" w:cs="Arial"/>
          <w:sz w:val="24"/>
          <w:szCs w:val="24"/>
        </w:rPr>
        <w:t>;</w:t>
      </w:r>
      <w:r w:rsidRPr="00630750">
        <w:rPr>
          <w:rFonts w:ascii="Palatino Linotype" w:eastAsia="Calibri" w:hAnsi="Palatino Linotype" w:cs="Arial"/>
          <w:sz w:val="24"/>
          <w:szCs w:val="24"/>
        </w:rPr>
        <w:t xml:space="preserve"> empero, no en el sentido planteado por la Ponencia </w:t>
      </w:r>
      <w:proofErr w:type="spellStart"/>
      <w:r w:rsidRPr="00630750">
        <w:rPr>
          <w:rFonts w:ascii="Palatino Linotype" w:eastAsia="Calibri" w:hAnsi="Palatino Linotype" w:cs="Arial"/>
          <w:sz w:val="24"/>
          <w:szCs w:val="24"/>
        </w:rPr>
        <w:t>Resolutora</w:t>
      </w:r>
      <w:proofErr w:type="spellEnd"/>
      <w:r w:rsidRPr="00630750">
        <w:rPr>
          <w:rFonts w:ascii="Palatino Linotype" w:eastAsia="Calibri" w:hAnsi="Palatino Linotype" w:cs="Arial"/>
          <w:sz w:val="24"/>
          <w:szCs w:val="24"/>
        </w:rPr>
        <w:t xml:space="preserve"> como se precisara en párrafos posteriores.</w:t>
      </w:r>
    </w:p>
    <w:p w:rsidR="00362134" w:rsidRPr="00630750" w:rsidRDefault="00362134" w:rsidP="00362134">
      <w:pPr>
        <w:pStyle w:val="Prrafodelista"/>
        <w:rPr>
          <w:rFonts w:ascii="Palatino Linotype" w:hAnsi="Palatino Linotype" w:cs="Arial"/>
          <w:bCs/>
          <w:sz w:val="24"/>
          <w:szCs w:val="24"/>
          <w:shd w:val="clear" w:color="auto" w:fill="FFFFFF"/>
        </w:rPr>
      </w:pPr>
    </w:p>
    <w:p w:rsidR="00187610" w:rsidRPr="00630750" w:rsidRDefault="00187610" w:rsidP="00187610">
      <w:pPr>
        <w:pStyle w:val="Prrafodelista"/>
        <w:rPr>
          <w:rFonts w:ascii="Palatino Linotype" w:eastAsia="Calibri" w:hAnsi="Palatino Linotype" w:cs="Arial"/>
          <w:sz w:val="24"/>
          <w:szCs w:val="24"/>
          <w:lang w:val="es-ES"/>
        </w:rPr>
      </w:pPr>
    </w:p>
    <w:p w:rsidR="009C382C" w:rsidRPr="00630750" w:rsidRDefault="009C382C" w:rsidP="00B5044C">
      <w:pPr>
        <w:pStyle w:val="Ttulo1"/>
        <w:numPr>
          <w:ilvl w:val="0"/>
          <w:numId w:val="3"/>
        </w:numPr>
        <w:ind w:hanging="654"/>
        <w:rPr>
          <w:rFonts w:ascii="Palatino Linotype" w:eastAsia="Calibri" w:hAnsi="Palatino Linotype"/>
          <w:b/>
          <w:color w:val="auto"/>
          <w:sz w:val="24"/>
          <w:szCs w:val="24"/>
          <w:lang w:val="es-ES"/>
        </w:rPr>
      </w:pPr>
      <w:bookmarkStart w:id="4" w:name="_Toc527381341"/>
      <w:r w:rsidRPr="00630750">
        <w:rPr>
          <w:rFonts w:ascii="Palatino Linotype" w:eastAsia="Calibri" w:hAnsi="Palatino Linotype"/>
          <w:b/>
          <w:color w:val="auto"/>
          <w:sz w:val="24"/>
          <w:szCs w:val="24"/>
          <w:lang w:val="es-ES"/>
        </w:rPr>
        <w:t>De los requerimientos planteados en el recurso de revisión.</w:t>
      </w:r>
      <w:bookmarkEnd w:id="4"/>
    </w:p>
    <w:p w:rsidR="001744A9" w:rsidRPr="00630750" w:rsidRDefault="001744A9" w:rsidP="001744A9">
      <w:pPr>
        <w:pStyle w:val="Prrafodelista"/>
        <w:rPr>
          <w:rFonts w:ascii="Palatino Linotype" w:eastAsia="Calibri" w:hAnsi="Palatino Linotype" w:cs="Arial"/>
          <w:sz w:val="24"/>
          <w:szCs w:val="24"/>
          <w:lang w:val="es-ES"/>
        </w:rPr>
      </w:pPr>
    </w:p>
    <w:p w:rsidR="00D70E0E" w:rsidRPr="00630750" w:rsidRDefault="009C382C" w:rsidP="00B5044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Palatino Linotype" w:eastAsia="Calibri" w:hAnsi="Palatino Linotype" w:cs="Arial"/>
          <w:sz w:val="24"/>
          <w:szCs w:val="24"/>
          <w:lang w:val="es-ES"/>
        </w:rPr>
      </w:pPr>
      <w:r w:rsidRPr="00630750">
        <w:rPr>
          <w:rFonts w:ascii="Palatino Linotype" w:eastAsia="Calibri" w:hAnsi="Palatino Linotype" w:cs="Arial"/>
          <w:sz w:val="24"/>
          <w:szCs w:val="24"/>
          <w:lang w:val="es-ES"/>
        </w:rPr>
        <w:t xml:space="preserve">En </w:t>
      </w:r>
      <w:r w:rsidRPr="00630750">
        <w:rPr>
          <w:rFonts w:ascii="Palatino Linotype" w:eastAsia="Calibri" w:hAnsi="Palatino Linotype" w:cs="Times New Roman"/>
          <w:sz w:val="24"/>
          <w:szCs w:val="24"/>
        </w:rPr>
        <w:t>ejercicio del derecho constitucional que le asiste al particular</w:t>
      </w:r>
      <w:r w:rsidR="00032D26" w:rsidRPr="00630750">
        <w:rPr>
          <w:rFonts w:ascii="Palatino Linotype" w:eastAsia="Calibri" w:hAnsi="Palatino Linotype" w:cs="Times New Roman"/>
          <w:sz w:val="24"/>
          <w:szCs w:val="24"/>
        </w:rPr>
        <w:t>,</w:t>
      </w:r>
      <w:r w:rsidRPr="00630750">
        <w:rPr>
          <w:rFonts w:ascii="Palatino Linotype" w:eastAsia="Calibri" w:hAnsi="Palatino Linotype" w:cs="Times New Roman"/>
          <w:sz w:val="24"/>
          <w:szCs w:val="24"/>
        </w:rPr>
        <w:t xml:space="preserve"> formuló solicitud de información dirigida hacia el </w:t>
      </w:r>
      <w:r w:rsidR="00581E2F" w:rsidRPr="00630750">
        <w:rPr>
          <w:rFonts w:ascii="Palatino Linotype" w:eastAsia="Calibri" w:hAnsi="Palatino Linotype" w:cs="Times New Roman"/>
          <w:sz w:val="24"/>
          <w:szCs w:val="24"/>
        </w:rPr>
        <w:t xml:space="preserve">Ayuntamiento de </w:t>
      </w:r>
      <w:proofErr w:type="spellStart"/>
      <w:r w:rsidR="00586D5D" w:rsidRPr="00630750">
        <w:rPr>
          <w:rFonts w:ascii="Palatino Linotype" w:eastAsia="Calibri" w:hAnsi="Palatino Linotype" w:cs="Times New Roman"/>
          <w:sz w:val="24"/>
          <w:szCs w:val="24"/>
        </w:rPr>
        <w:t>Temascalcingo</w:t>
      </w:r>
      <w:proofErr w:type="spellEnd"/>
      <w:r w:rsidRPr="00630750">
        <w:rPr>
          <w:rFonts w:ascii="Palatino Linotype" w:eastAsia="Calibri" w:hAnsi="Palatino Linotype" w:cs="Times New Roman"/>
          <w:sz w:val="24"/>
          <w:szCs w:val="24"/>
        </w:rPr>
        <w:t>, en dicha</w:t>
      </w:r>
      <w:r w:rsidR="00187610" w:rsidRPr="00630750">
        <w:rPr>
          <w:rFonts w:ascii="Palatino Linotype" w:eastAsia="Calibri" w:hAnsi="Palatino Linotype" w:cs="Times New Roman"/>
          <w:sz w:val="24"/>
          <w:szCs w:val="24"/>
        </w:rPr>
        <w:t>s</w:t>
      </w:r>
      <w:r w:rsidR="00902FFF" w:rsidRPr="00630750">
        <w:rPr>
          <w:rFonts w:ascii="Palatino Linotype" w:eastAsia="Calibri" w:hAnsi="Palatino Linotype" w:cs="Times New Roman"/>
          <w:sz w:val="24"/>
          <w:szCs w:val="24"/>
        </w:rPr>
        <w:t xml:space="preserve"> solicitud</w:t>
      </w:r>
      <w:r w:rsidR="00187610" w:rsidRPr="00630750">
        <w:rPr>
          <w:rFonts w:ascii="Palatino Linotype" w:eastAsia="Calibri" w:hAnsi="Palatino Linotype" w:cs="Times New Roman"/>
          <w:sz w:val="24"/>
          <w:szCs w:val="24"/>
        </w:rPr>
        <w:t>es</w:t>
      </w:r>
      <w:r w:rsidR="00902FFF" w:rsidRPr="00630750">
        <w:rPr>
          <w:rFonts w:ascii="Palatino Linotype" w:eastAsia="Calibri" w:hAnsi="Palatino Linotype" w:cs="Times New Roman"/>
          <w:sz w:val="24"/>
          <w:szCs w:val="24"/>
        </w:rPr>
        <w:t xml:space="preserve"> planteó lo siguiente:</w:t>
      </w:r>
    </w:p>
    <w:p w:rsidR="00630750" w:rsidRPr="00630750" w:rsidRDefault="00630750" w:rsidP="00630750">
      <w:pPr>
        <w:spacing w:after="0" w:line="360" w:lineRule="auto"/>
        <w:ind w:left="426"/>
        <w:contextualSpacing/>
        <w:jc w:val="both"/>
        <w:rPr>
          <w:rFonts w:ascii="Palatino Linotype" w:eastAsia="Calibri" w:hAnsi="Palatino Linotype" w:cs="Arial"/>
          <w:sz w:val="10"/>
          <w:szCs w:val="24"/>
          <w:lang w:val="es-ES"/>
        </w:rPr>
      </w:pPr>
    </w:p>
    <w:p w:rsidR="00187610" w:rsidRPr="00630750" w:rsidRDefault="00187610" w:rsidP="00A766F3">
      <w:pPr>
        <w:spacing w:before="240" w:line="360" w:lineRule="auto"/>
        <w:ind w:left="348"/>
        <w:jc w:val="both"/>
        <w:rPr>
          <w:rFonts w:ascii="Palatino Linotype" w:hAnsi="Palatino Linotype" w:cs="Arial"/>
          <w:b/>
          <w:sz w:val="24"/>
          <w:szCs w:val="24"/>
        </w:rPr>
      </w:pPr>
      <w:r w:rsidRPr="00630750">
        <w:rPr>
          <w:rFonts w:ascii="Palatino Linotype" w:hAnsi="Palatino Linotype" w:cs="Arial"/>
          <w:b/>
          <w:sz w:val="24"/>
          <w:szCs w:val="24"/>
        </w:rPr>
        <w:t xml:space="preserve">Solicitud </w:t>
      </w:r>
      <w:r w:rsidR="00362134" w:rsidRPr="00630750">
        <w:rPr>
          <w:rFonts w:ascii="Palatino Linotype" w:hAnsi="Palatino Linotype"/>
          <w:b/>
          <w:bCs/>
          <w:sz w:val="24"/>
          <w:szCs w:val="24"/>
        </w:rPr>
        <w:t>00022/TMASCALC/IP/2018</w:t>
      </w:r>
      <w:r w:rsidRPr="00630750">
        <w:rPr>
          <w:rFonts w:ascii="Palatino Linotype" w:hAnsi="Palatino Linotype" w:cs="Arial"/>
          <w:b/>
          <w:sz w:val="24"/>
          <w:szCs w:val="24"/>
        </w:rPr>
        <w:t>:</w:t>
      </w:r>
    </w:p>
    <w:p w:rsidR="00362134" w:rsidRPr="00630750" w:rsidRDefault="00362134" w:rsidP="00362134">
      <w:pPr>
        <w:spacing w:before="80" w:after="120"/>
        <w:ind w:left="709" w:right="709"/>
        <w:jc w:val="both"/>
        <w:rPr>
          <w:rFonts w:ascii="Palatino Linotype" w:hAnsi="Palatino Linotype"/>
          <w:sz w:val="24"/>
          <w:szCs w:val="24"/>
        </w:rPr>
      </w:pPr>
      <w:r w:rsidRPr="00630750">
        <w:rPr>
          <w:rFonts w:ascii="Palatino Linotype" w:hAnsi="Palatino Linotype" w:cs="Arial"/>
          <w:i/>
          <w:sz w:val="24"/>
          <w:szCs w:val="24"/>
        </w:rPr>
        <w:lastRenderedPageBreak/>
        <w:t xml:space="preserve">“Teniendo como marco la Ley de Transparencia y Acceso a la Información Pública del Estado de México y Municipios, solicito copia simple de todas las actas de sesión de cabildo realizadas durante el lapso del 01 de abril del 2018 al 15 de mayo del 2018.” </w:t>
      </w:r>
      <w:r w:rsidRPr="00630750">
        <w:rPr>
          <w:rFonts w:ascii="Palatino Linotype" w:hAnsi="Palatino Linotype"/>
          <w:sz w:val="24"/>
          <w:szCs w:val="24"/>
        </w:rPr>
        <w:t>(Sic).</w:t>
      </w:r>
    </w:p>
    <w:p w:rsidR="00187610" w:rsidRPr="00630750" w:rsidRDefault="00187610" w:rsidP="00A766F3">
      <w:pPr>
        <w:ind w:left="1199" w:right="900"/>
        <w:jc w:val="both"/>
        <w:rPr>
          <w:rFonts w:ascii="Palatino Linotype" w:hAnsi="Palatino Linotype"/>
          <w:i/>
          <w:color w:val="000000"/>
          <w:sz w:val="24"/>
          <w:szCs w:val="24"/>
        </w:rPr>
      </w:pPr>
    </w:p>
    <w:p w:rsidR="00A766F3" w:rsidRPr="00630750" w:rsidRDefault="00A766F3" w:rsidP="00A766F3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Palatino Linotype" w:hAnsi="Palatino Linotype" w:cs="Arial"/>
          <w:sz w:val="24"/>
          <w:szCs w:val="24"/>
        </w:rPr>
      </w:pPr>
      <w:r w:rsidRPr="00630750">
        <w:rPr>
          <w:rFonts w:ascii="Palatino Linotype" w:eastAsia="Calibri" w:hAnsi="Palatino Linotype" w:cs="Arial"/>
          <w:sz w:val="24"/>
          <w:szCs w:val="24"/>
          <w:lang w:val="es-ES"/>
        </w:rPr>
        <w:t>Inconforme</w:t>
      </w:r>
      <w:r w:rsidRPr="00630750">
        <w:rPr>
          <w:rFonts w:ascii="Palatino Linotype" w:hAnsi="Palatino Linotype" w:cs="Arial"/>
          <w:sz w:val="24"/>
          <w:szCs w:val="24"/>
        </w:rPr>
        <w:t xml:space="preserve"> el solicitante con la falta de respuesta por </w:t>
      </w:r>
      <w:r w:rsidR="00362134" w:rsidRPr="00630750">
        <w:rPr>
          <w:rFonts w:ascii="Palatino Linotype" w:hAnsi="Palatino Linotype" w:cs="Arial"/>
          <w:sz w:val="24"/>
          <w:szCs w:val="24"/>
        </w:rPr>
        <w:t>parte d</w:t>
      </w:r>
      <w:r w:rsidRPr="00630750">
        <w:rPr>
          <w:rFonts w:ascii="Palatino Linotype" w:hAnsi="Palatino Linotype" w:cs="Arial"/>
          <w:sz w:val="24"/>
          <w:szCs w:val="24"/>
        </w:rPr>
        <w:t xml:space="preserve">el </w:t>
      </w:r>
      <w:r w:rsidRPr="00630750">
        <w:rPr>
          <w:rFonts w:ascii="Palatino Linotype" w:hAnsi="Palatino Linotype" w:cs="Arial"/>
          <w:b/>
          <w:sz w:val="24"/>
          <w:szCs w:val="24"/>
        </w:rPr>
        <w:t>Sujeto Obligado</w:t>
      </w:r>
      <w:r w:rsidR="00362134" w:rsidRPr="00630750">
        <w:rPr>
          <w:rFonts w:ascii="Palatino Linotype" w:hAnsi="Palatino Linotype" w:cs="Arial"/>
          <w:b/>
          <w:sz w:val="24"/>
          <w:szCs w:val="24"/>
        </w:rPr>
        <w:t>,</w:t>
      </w:r>
      <w:r w:rsidRPr="00630750">
        <w:rPr>
          <w:rFonts w:ascii="Palatino Linotype" w:hAnsi="Palatino Linotype" w:cs="Arial"/>
          <w:sz w:val="24"/>
          <w:szCs w:val="24"/>
        </w:rPr>
        <w:t xml:space="preserve"> interpuso </w:t>
      </w:r>
      <w:r w:rsidR="00362134" w:rsidRPr="00630750">
        <w:rPr>
          <w:rFonts w:ascii="Palatino Linotype" w:hAnsi="Palatino Linotype" w:cs="Arial"/>
          <w:sz w:val="24"/>
          <w:szCs w:val="24"/>
        </w:rPr>
        <w:t xml:space="preserve">el </w:t>
      </w:r>
      <w:r w:rsidRPr="00630750">
        <w:rPr>
          <w:rFonts w:ascii="Palatino Linotype" w:hAnsi="Palatino Linotype" w:cs="Arial"/>
          <w:sz w:val="24"/>
          <w:szCs w:val="24"/>
        </w:rPr>
        <w:t xml:space="preserve">recursos de revisión </w:t>
      </w:r>
      <w:r w:rsidR="00362134" w:rsidRPr="00630750">
        <w:rPr>
          <w:rFonts w:ascii="Palatino Linotype" w:hAnsi="Palatino Linotype" w:cs="Arial"/>
          <w:sz w:val="24"/>
          <w:szCs w:val="24"/>
        </w:rPr>
        <w:t>respectivo a través del SAIMEX en fecha veintiuno (21)</w:t>
      </w:r>
      <w:r w:rsidRPr="00630750">
        <w:rPr>
          <w:rFonts w:ascii="Palatino Linotype" w:hAnsi="Palatino Linotype" w:cs="Arial"/>
          <w:sz w:val="24"/>
          <w:szCs w:val="24"/>
        </w:rPr>
        <w:t xml:space="preserve"> de </w:t>
      </w:r>
      <w:r w:rsidR="00362134" w:rsidRPr="00630750">
        <w:rPr>
          <w:rFonts w:ascii="Palatino Linotype" w:hAnsi="Palatino Linotype" w:cs="Arial"/>
          <w:sz w:val="24"/>
          <w:szCs w:val="24"/>
        </w:rPr>
        <w:t>agost</w:t>
      </w:r>
      <w:r w:rsidRPr="00630750">
        <w:rPr>
          <w:rFonts w:ascii="Palatino Linotype" w:hAnsi="Palatino Linotype" w:cs="Arial"/>
          <w:sz w:val="24"/>
          <w:szCs w:val="24"/>
        </w:rPr>
        <w:t>o de d</w:t>
      </w:r>
      <w:r w:rsidR="00362134" w:rsidRPr="00630750">
        <w:rPr>
          <w:rFonts w:ascii="Palatino Linotype" w:hAnsi="Palatino Linotype" w:cs="Arial"/>
          <w:sz w:val="24"/>
          <w:szCs w:val="24"/>
        </w:rPr>
        <w:t>os mil dieciocho, a través del</w:t>
      </w:r>
      <w:r w:rsidRPr="00630750">
        <w:rPr>
          <w:rFonts w:ascii="Palatino Linotype" w:hAnsi="Palatino Linotype" w:cs="Arial"/>
          <w:sz w:val="24"/>
          <w:szCs w:val="24"/>
        </w:rPr>
        <w:t xml:space="preserve"> cual expresó lo siguiente:</w:t>
      </w:r>
    </w:p>
    <w:p w:rsidR="00362134" w:rsidRPr="00630750" w:rsidRDefault="00362134" w:rsidP="00A766F3">
      <w:pPr>
        <w:spacing w:line="360" w:lineRule="auto"/>
        <w:ind w:left="426"/>
        <w:rPr>
          <w:rFonts w:ascii="Palatino Linotype" w:hAnsi="Palatino Linotype" w:cs="Arial"/>
          <w:b/>
          <w:sz w:val="24"/>
          <w:szCs w:val="24"/>
        </w:rPr>
      </w:pPr>
    </w:p>
    <w:p w:rsidR="00A766F3" w:rsidRPr="00630750" w:rsidRDefault="00A766F3" w:rsidP="00A13BDF">
      <w:pPr>
        <w:spacing w:line="360" w:lineRule="auto"/>
        <w:ind w:left="709"/>
        <w:rPr>
          <w:rFonts w:ascii="Palatino Linotype" w:hAnsi="Palatino Linotype" w:cs="Arial"/>
          <w:b/>
          <w:sz w:val="24"/>
          <w:szCs w:val="24"/>
        </w:rPr>
      </w:pPr>
      <w:r w:rsidRPr="00630750">
        <w:rPr>
          <w:rFonts w:ascii="Palatino Linotype" w:hAnsi="Palatino Linotype" w:cs="Arial"/>
          <w:b/>
          <w:sz w:val="24"/>
          <w:szCs w:val="24"/>
        </w:rPr>
        <w:t>a) Acto impugnado.</w:t>
      </w:r>
    </w:p>
    <w:p w:rsidR="00362134" w:rsidRPr="00630750" w:rsidRDefault="00A766F3" w:rsidP="00A13BDF">
      <w:pPr>
        <w:spacing w:before="200" w:after="200"/>
        <w:ind w:left="709" w:right="709"/>
        <w:jc w:val="both"/>
        <w:rPr>
          <w:rFonts w:ascii="Palatino Linotype" w:hAnsi="Palatino Linotype" w:cs="Arial"/>
          <w:sz w:val="24"/>
          <w:szCs w:val="24"/>
          <w:lang w:eastAsia="es-MX"/>
        </w:rPr>
      </w:pPr>
      <w:r w:rsidRPr="00630750">
        <w:rPr>
          <w:rFonts w:ascii="Palatino Linotype" w:hAnsi="Palatino Linotype"/>
          <w:i/>
          <w:color w:val="000000"/>
          <w:sz w:val="24"/>
          <w:szCs w:val="24"/>
        </w:rPr>
        <w:t>“</w:t>
      </w:r>
      <w:r w:rsidR="00362134" w:rsidRPr="00630750">
        <w:rPr>
          <w:rFonts w:ascii="Palatino Linotype" w:hAnsi="Palatino Linotype" w:cs="Arial"/>
          <w:i/>
          <w:sz w:val="24"/>
          <w:szCs w:val="24"/>
          <w:lang w:eastAsia="es-MX"/>
        </w:rPr>
        <w:t>“</w:t>
      </w:r>
      <w:r w:rsidR="00362134" w:rsidRPr="00630750">
        <w:rPr>
          <w:rFonts w:ascii="Palatino Linotype" w:hAnsi="Palatino Linotype" w:cs="Arial"/>
          <w:i/>
          <w:sz w:val="24"/>
          <w:szCs w:val="24"/>
        </w:rPr>
        <w:t>No se proporcionó la información requerida</w:t>
      </w:r>
      <w:r w:rsidR="00362134" w:rsidRPr="00630750">
        <w:rPr>
          <w:rFonts w:ascii="Palatino Linotype" w:hAnsi="Palatino Linotype" w:cs="Arial"/>
          <w:i/>
          <w:sz w:val="24"/>
          <w:szCs w:val="24"/>
          <w:lang w:eastAsia="es-MX"/>
        </w:rPr>
        <w:t xml:space="preserve">” </w:t>
      </w:r>
      <w:r w:rsidR="00362134" w:rsidRPr="00630750">
        <w:rPr>
          <w:rFonts w:ascii="Palatino Linotype" w:hAnsi="Palatino Linotype" w:cs="Arial"/>
          <w:sz w:val="24"/>
          <w:szCs w:val="24"/>
          <w:lang w:eastAsia="es-MX"/>
        </w:rPr>
        <w:t>(Sic)</w:t>
      </w:r>
    </w:p>
    <w:p w:rsidR="00362134" w:rsidRPr="00630750" w:rsidRDefault="00362134" w:rsidP="00A13BDF">
      <w:pPr>
        <w:spacing w:line="360" w:lineRule="auto"/>
        <w:ind w:left="709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766F3" w:rsidRPr="00630750" w:rsidRDefault="00A766F3" w:rsidP="00A13BDF">
      <w:pPr>
        <w:spacing w:line="360" w:lineRule="auto"/>
        <w:ind w:left="709"/>
        <w:jc w:val="both"/>
        <w:rPr>
          <w:rFonts w:ascii="Palatino Linotype" w:hAnsi="Palatino Linotype" w:cs="Arial"/>
          <w:b/>
          <w:sz w:val="24"/>
          <w:szCs w:val="24"/>
        </w:rPr>
      </w:pPr>
      <w:r w:rsidRPr="00630750">
        <w:rPr>
          <w:rFonts w:ascii="Palatino Linotype" w:hAnsi="Palatino Linotype" w:cs="Arial"/>
          <w:b/>
          <w:sz w:val="24"/>
          <w:szCs w:val="24"/>
        </w:rPr>
        <w:t>b) Motivos de inconformidad.</w:t>
      </w:r>
    </w:p>
    <w:p w:rsidR="00362134" w:rsidRPr="00630750" w:rsidRDefault="00362134" w:rsidP="00A13BDF">
      <w:pPr>
        <w:spacing w:before="200" w:after="200"/>
        <w:ind w:left="709" w:right="709"/>
        <w:jc w:val="both"/>
        <w:rPr>
          <w:rFonts w:ascii="Palatino Linotype" w:hAnsi="Palatino Linotype" w:cs="Arial"/>
          <w:spacing w:val="-6"/>
          <w:sz w:val="24"/>
          <w:szCs w:val="24"/>
          <w:lang w:eastAsia="es-MX"/>
        </w:rPr>
      </w:pPr>
      <w:r w:rsidRPr="00630750">
        <w:rPr>
          <w:rFonts w:ascii="Palatino Linotype" w:hAnsi="Palatino Linotype" w:cs="Arial"/>
          <w:i/>
          <w:spacing w:val="-6"/>
          <w:sz w:val="24"/>
          <w:szCs w:val="24"/>
          <w:lang w:eastAsia="es-MX"/>
        </w:rPr>
        <w:t>“</w:t>
      </w:r>
      <w:r w:rsidRPr="00630750">
        <w:rPr>
          <w:rFonts w:ascii="Palatino Linotype" w:hAnsi="Palatino Linotype" w:cs="Arial"/>
          <w:i/>
          <w:sz w:val="24"/>
          <w:szCs w:val="24"/>
          <w:lang w:eastAsia="es-MX"/>
        </w:rPr>
        <w:t>Es obligación de los ayuntamientos realizar la apertura de la información pública, tal como lo ampara la Ley de Transparencia”</w:t>
      </w:r>
      <w:r w:rsidRPr="00630750">
        <w:rPr>
          <w:rFonts w:ascii="Palatino Linotype" w:hAnsi="Palatino Linotype" w:cs="Arial"/>
          <w:i/>
          <w:spacing w:val="-6"/>
          <w:sz w:val="24"/>
          <w:szCs w:val="24"/>
          <w:lang w:eastAsia="es-MX"/>
        </w:rPr>
        <w:t xml:space="preserve"> </w:t>
      </w:r>
      <w:r w:rsidRPr="00630750">
        <w:rPr>
          <w:rFonts w:ascii="Palatino Linotype" w:hAnsi="Palatino Linotype" w:cs="Arial"/>
          <w:spacing w:val="-6"/>
          <w:sz w:val="24"/>
          <w:szCs w:val="24"/>
          <w:lang w:eastAsia="es-MX"/>
        </w:rPr>
        <w:t>(Sic)</w:t>
      </w:r>
    </w:p>
    <w:p w:rsidR="000C6443" w:rsidRPr="00630750" w:rsidRDefault="000C6443" w:rsidP="00A766F3">
      <w:pPr>
        <w:spacing w:before="240" w:after="240"/>
        <w:ind w:left="1277" w:right="900"/>
        <w:jc w:val="both"/>
        <w:rPr>
          <w:rFonts w:ascii="Palatino Linotype" w:hAnsi="Palatino Linotype"/>
          <w:i/>
          <w:color w:val="000000"/>
          <w:sz w:val="24"/>
          <w:szCs w:val="24"/>
        </w:rPr>
      </w:pPr>
    </w:p>
    <w:p w:rsidR="000F1AD8" w:rsidRPr="00630750" w:rsidRDefault="00A7073D" w:rsidP="000F1AD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630750">
        <w:rPr>
          <w:rFonts w:ascii="Palatino Linotype" w:hAnsi="Palatino Linotype" w:cs="Arial"/>
          <w:sz w:val="24"/>
          <w:szCs w:val="24"/>
        </w:rPr>
        <w:t>Bajo esas consideraciones, se advirtió que los motivos aduc</w:t>
      </w:r>
      <w:r w:rsidR="00630750">
        <w:rPr>
          <w:rFonts w:ascii="Palatino Linotype" w:hAnsi="Palatino Linotype" w:cs="Arial"/>
          <w:sz w:val="24"/>
          <w:szCs w:val="24"/>
        </w:rPr>
        <w:t>idos por el recurrente, resultaban</w:t>
      </w:r>
      <w:r w:rsidRPr="00630750">
        <w:rPr>
          <w:rFonts w:ascii="Palatino Linotype" w:hAnsi="Palatino Linotype" w:cs="Arial"/>
          <w:sz w:val="24"/>
          <w:szCs w:val="24"/>
        </w:rPr>
        <w:t xml:space="preserve"> fundados pues efectivamente transcurrió el plazo para dar respuesta determinado por la Ley de la Materia, por lo que </w:t>
      </w:r>
      <w:r w:rsidR="00362134" w:rsidRPr="00630750">
        <w:rPr>
          <w:rFonts w:ascii="Palatino Linotype" w:hAnsi="Palatino Linotype" w:cs="Arial"/>
          <w:sz w:val="24"/>
          <w:szCs w:val="24"/>
        </w:rPr>
        <w:t xml:space="preserve">la Ponencia </w:t>
      </w:r>
      <w:proofErr w:type="spellStart"/>
      <w:r w:rsidR="00362134" w:rsidRPr="00630750">
        <w:rPr>
          <w:rFonts w:ascii="Palatino Linotype" w:hAnsi="Palatino Linotype" w:cs="Arial"/>
          <w:sz w:val="24"/>
          <w:szCs w:val="24"/>
        </w:rPr>
        <w:t>R</w:t>
      </w:r>
      <w:r w:rsidR="008C2121" w:rsidRPr="00630750">
        <w:rPr>
          <w:rFonts w:ascii="Palatino Linotype" w:hAnsi="Palatino Linotype" w:cs="Arial"/>
          <w:sz w:val="24"/>
          <w:szCs w:val="24"/>
        </w:rPr>
        <w:t>esolutora</w:t>
      </w:r>
      <w:proofErr w:type="spellEnd"/>
      <w:r w:rsidR="008C2121" w:rsidRPr="00630750">
        <w:rPr>
          <w:rFonts w:ascii="Palatino Linotype" w:hAnsi="Palatino Linotype" w:cs="Arial"/>
          <w:sz w:val="24"/>
          <w:szCs w:val="24"/>
        </w:rPr>
        <w:t xml:space="preserve"> </w:t>
      </w:r>
      <w:r w:rsidR="000F1AD8" w:rsidRPr="00630750">
        <w:rPr>
          <w:rFonts w:ascii="Palatino Linotype" w:hAnsi="Palatino Linotype" w:cs="Arial"/>
          <w:sz w:val="24"/>
          <w:szCs w:val="24"/>
        </w:rPr>
        <w:t>procedió al análisis del recurso</w:t>
      </w:r>
      <w:r w:rsidRPr="00630750">
        <w:rPr>
          <w:rFonts w:ascii="Palatino Linotype" w:hAnsi="Palatino Linotype" w:cs="Arial"/>
          <w:sz w:val="24"/>
          <w:szCs w:val="24"/>
        </w:rPr>
        <w:t xml:space="preserve"> de revisión</w:t>
      </w:r>
      <w:r w:rsidR="000F1AD8" w:rsidRPr="00630750">
        <w:rPr>
          <w:rFonts w:ascii="Palatino Linotype" w:hAnsi="Palatino Linotype" w:cs="Arial"/>
          <w:sz w:val="24"/>
          <w:szCs w:val="24"/>
        </w:rPr>
        <w:t>.</w:t>
      </w:r>
    </w:p>
    <w:p w:rsidR="008039E7" w:rsidRPr="00376456" w:rsidRDefault="006577B9" w:rsidP="00376456">
      <w:pPr>
        <w:pStyle w:val="Ttulo1"/>
        <w:numPr>
          <w:ilvl w:val="0"/>
          <w:numId w:val="38"/>
        </w:numPr>
        <w:ind w:left="993"/>
        <w:rPr>
          <w:rFonts w:ascii="Palatino Linotype" w:eastAsia="Calibri" w:hAnsi="Palatino Linotype"/>
          <w:b/>
          <w:color w:val="000000" w:themeColor="text1"/>
          <w:sz w:val="24"/>
        </w:rPr>
      </w:pPr>
      <w:bookmarkStart w:id="5" w:name="_Toc527381342"/>
      <w:r w:rsidRPr="00376456">
        <w:rPr>
          <w:rFonts w:ascii="Palatino Linotype" w:eastAsia="Calibri" w:hAnsi="Palatino Linotype"/>
          <w:b/>
          <w:color w:val="000000" w:themeColor="text1"/>
          <w:sz w:val="24"/>
        </w:rPr>
        <w:lastRenderedPageBreak/>
        <w:t>De</w:t>
      </w:r>
      <w:r w:rsidR="00362134" w:rsidRPr="00376456">
        <w:rPr>
          <w:rFonts w:ascii="Palatino Linotype" w:eastAsia="Calibri" w:hAnsi="Palatino Linotype"/>
          <w:b/>
          <w:color w:val="000000" w:themeColor="text1"/>
          <w:sz w:val="24"/>
        </w:rPr>
        <w:t xml:space="preserve"> </w:t>
      </w:r>
      <w:r w:rsidRPr="00376456">
        <w:rPr>
          <w:rFonts w:ascii="Palatino Linotype" w:eastAsia="Calibri" w:hAnsi="Palatino Linotype"/>
          <w:b/>
          <w:color w:val="000000" w:themeColor="text1"/>
          <w:sz w:val="24"/>
        </w:rPr>
        <w:t>l</w:t>
      </w:r>
      <w:r w:rsidR="00362134" w:rsidRPr="00376456">
        <w:rPr>
          <w:rFonts w:ascii="Palatino Linotype" w:eastAsia="Calibri" w:hAnsi="Palatino Linotype"/>
          <w:b/>
          <w:color w:val="000000" w:themeColor="text1"/>
          <w:sz w:val="24"/>
        </w:rPr>
        <w:t>a causal de sobreseimiento.</w:t>
      </w:r>
      <w:bookmarkEnd w:id="5"/>
    </w:p>
    <w:p w:rsidR="00362134" w:rsidRPr="00630750" w:rsidRDefault="00362134" w:rsidP="00362134">
      <w:pPr>
        <w:rPr>
          <w:rFonts w:ascii="Palatino Linotype" w:hAnsi="Palatino Linotype"/>
          <w:sz w:val="24"/>
          <w:szCs w:val="24"/>
        </w:rPr>
      </w:pPr>
    </w:p>
    <w:p w:rsidR="00F354D8" w:rsidRPr="00630750" w:rsidRDefault="006577B9" w:rsidP="00B504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  <w:r w:rsidRPr="00630750">
        <w:rPr>
          <w:rFonts w:ascii="Palatino Linotype" w:eastAsia="Calibri" w:hAnsi="Palatino Linotype" w:cs="Arial"/>
          <w:sz w:val="24"/>
          <w:szCs w:val="24"/>
        </w:rPr>
        <w:t>En numerosas ocasiones he mencionado que la fundamentación y motivación es una obligación inherente</w:t>
      </w:r>
      <w:r w:rsidR="00C3434E" w:rsidRPr="00630750">
        <w:rPr>
          <w:rFonts w:ascii="Palatino Linotype" w:eastAsia="Calibri" w:hAnsi="Palatino Linotype" w:cs="Arial"/>
          <w:sz w:val="24"/>
          <w:szCs w:val="24"/>
        </w:rPr>
        <w:t xml:space="preserve"> y fundamental</w:t>
      </w:r>
      <w:r w:rsidRPr="00630750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="00C3434E" w:rsidRPr="00630750">
        <w:rPr>
          <w:rFonts w:ascii="Palatino Linotype" w:eastAsia="Calibri" w:hAnsi="Palatino Linotype" w:cs="Arial"/>
          <w:sz w:val="24"/>
          <w:szCs w:val="24"/>
        </w:rPr>
        <w:t>de</w:t>
      </w:r>
      <w:r w:rsidRPr="00630750">
        <w:rPr>
          <w:rFonts w:ascii="Palatino Linotype" w:eastAsia="Calibri" w:hAnsi="Palatino Linotype" w:cs="Arial"/>
          <w:sz w:val="24"/>
          <w:szCs w:val="24"/>
        </w:rPr>
        <w:t xml:space="preserve"> todas las autoridades independientemente del grado </w:t>
      </w:r>
      <w:r w:rsidR="00C3434E" w:rsidRPr="00630750">
        <w:rPr>
          <w:rFonts w:ascii="Palatino Linotype" w:eastAsia="Calibri" w:hAnsi="Palatino Linotype" w:cs="Arial"/>
          <w:sz w:val="24"/>
          <w:szCs w:val="24"/>
        </w:rPr>
        <w:t xml:space="preserve">jerárquico con el que cuenten, y en el presente recurso de revisión que hoy nos ocupa </w:t>
      </w:r>
      <w:r w:rsidR="00D70E0E" w:rsidRPr="00630750">
        <w:rPr>
          <w:rFonts w:ascii="Palatino Linotype" w:eastAsia="Calibri" w:hAnsi="Palatino Linotype" w:cs="Arial"/>
          <w:sz w:val="24"/>
          <w:szCs w:val="24"/>
        </w:rPr>
        <w:t xml:space="preserve">no </w:t>
      </w:r>
      <w:r w:rsidR="00C3434E" w:rsidRPr="00630750">
        <w:rPr>
          <w:rFonts w:ascii="Palatino Linotype" w:eastAsia="Calibri" w:hAnsi="Palatino Linotype" w:cs="Arial"/>
          <w:sz w:val="24"/>
          <w:szCs w:val="24"/>
        </w:rPr>
        <w:t xml:space="preserve">será  la excepción en la que </w:t>
      </w:r>
      <w:r w:rsidR="00D70E0E" w:rsidRPr="00630750">
        <w:rPr>
          <w:rFonts w:ascii="Palatino Linotype" w:eastAsia="Calibri" w:hAnsi="Palatino Linotype" w:cs="Arial"/>
          <w:sz w:val="24"/>
          <w:szCs w:val="24"/>
        </w:rPr>
        <w:t xml:space="preserve">señale </w:t>
      </w:r>
      <w:r w:rsidR="00C3434E" w:rsidRPr="00630750">
        <w:rPr>
          <w:rFonts w:ascii="Palatino Linotype" w:eastAsia="Calibri" w:hAnsi="Palatino Linotype" w:cs="Arial"/>
          <w:sz w:val="24"/>
          <w:szCs w:val="24"/>
        </w:rPr>
        <w:t xml:space="preserve">este aspecto, </w:t>
      </w:r>
      <w:r w:rsidR="00F354D8" w:rsidRPr="00630750">
        <w:rPr>
          <w:rFonts w:ascii="Palatino Linotype" w:eastAsia="Calibri" w:hAnsi="Palatino Linotype" w:cs="Arial"/>
          <w:sz w:val="24"/>
          <w:szCs w:val="24"/>
        </w:rPr>
        <w:t xml:space="preserve">para lo cual es importante </w:t>
      </w:r>
      <w:r w:rsidR="00D70E0E" w:rsidRPr="00630750">
        <w:rPr>
          <w:rFonts w:ascii="Palatino Linotype" w:eastAsia="Calibri" w:hAnsi="Palatino Linotype" w:cs="Arial"/>
          <w:sz w:val="24"/>
          <w:szCs w:val="24"/>
        </w:rPr>
        <w:t>hacer mención</w:t>
      </w:r>
      <w:r w:rsidR="00F354D8" w:rsidRPr="00630750">
        <w:rPr>
          <w:rFonts w:ascii="Palatino Linotype" w:eastAsia="Calibri" w:hAnsi="Palatino Linotype" w:cs="Arial"/>
          <w:sz w:val="24"/>
          <w:szCs w:val="24"/>
        </w:rPr>
        <w:t xml:space="preserve"> lo que el </w:t>
      </w:r>
      <w:r w:rsidR="00F354D8" w:rsidRPr="00630750">
        <w:rPr>
          <w:rFonts w:ascii="Palatino Linotype" w:eastAsia="Times New Roman" w:hAnsi="Palatino Linotype" w:cs="Arial"/>
          <w:sz w:val="24"/>
          <w:szCs w:val="24"/>
          <w:lang w:val="es-ES_tradnl" w:eastAsia="es-MX"/>
        </w:rPr>
        <w:t>intérprete judicial del país ha establecido en una jurisprudencia respecto a qué debe entenderse por fundamentación y motivación, en los siguientes términos:</w:t>
      </w:r>
    </w:p>
    <w:p w:rsidR="00F354D8" w:rsidRPr="00630750" w:rsidRDefault="00F354D8" w:rsidP="00F354D8">
      <w:pPr>
        <w:spacing w:after="0" w:line="360" w:lineRule="auto"/>
        <w:ind w:left="567" w:right="618"/>
        <w:contextualSpacing/>
        <w:jc w:val="both"/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</w:pPr>
    </w:p>
    <w:p w:rsidR="00F354D8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</w:pPr>
      <w:r w:rsidRPr="00630750">
        <w:rPr>
          <w:rFonts w:ascii="Palatino Linotype" w:eastAsiaTheme="minorEastAsia" w:hAnsi="Palatino Linotype" w:cs="Arial"/>
          <w:b/>
          <w:sz w:val="24"/>
          <w:szCs w:val="24"/>
          <w:lang w:val="es-ES_tradnl" w:eastAsia="es-ES"/>
        </w:rPr>
        <w:t>FUNDAMENTACIÓN Y MOTIVACIÓN.</w:t>
      </w:r>
      <w:r w:rsidRPr="00630750"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  <w:t xml:space="preserve"> </w:t>
      </w:r>
      <w:r w:rsidRPr="00630750">
        <w:rPr>
          <w:rFonts w:ascii="Palatino Linotype" w:eastAsiaTheme="minorEastAsia" w:hAnsi="Palatino Linotype" w:cs="Arial"/>
          <w:sz w:val="24"/>
          <w:szCs w:val="24"/>
          <w:u w:val="single"/>
          <w:lang w:val="es-ES_tradnl" w:eastAsia="es-ES"/>
        </w:rPr>
        <w:t>La debida fundamentación y motivación legal, deben entenderse, por lo primero, la cita del precepto legal aplicable al caso, y por lo segundo, las razones, motivos o circunstancias especiales que llevaron a la autoridad a concluir que el caso particular encuadra en el supuesto previsto por la norma legal invocada como fundamento</w:t>
      </w:r>
      <w:r w:rsidRPr="00630750"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  <w:t>.</w:t>
      </w:r>
    </w:p>
    <w:p w:rsidR="00C20346" w:rsidRPr="00630750" w:rsidRDefault="00C20346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</w:pP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SEGUNDO TRIBUNAL COLEGIADO DEL SEXTO CIRCUITO.</w:t>
      </w: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Amparo directo 194/88. Bufete Industrial Construcciones, S.A. de C.V. 28 de junio de 1988. Unanimidad de votos. Ponente: Gustavo Calvillo Rangel. Secretario: Jorge Alberto González Álvarez.</w:t>
      </w: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lastRenderedPageBreak/>
        <w:t xml:space="preserve">Revisión fiscal 103/88. Instituto Mexicano del Seguro Social. 18 de octubre de 1988. Unanimidad de votos. Ponente: Arnoldo Nájera Virgen. Secretario: Alejandro </w:t>
      </w:r>
      <w:proofErr w:type="spellStart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Esponda</w:t>
      </w:r>
      <w:proofErr w:type="spellEnd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 Rincón.</w:t>
      </w: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Amparo en revisión 333/88. </w:t>
      </w:r>
      <w:proofErr w:type="spellStart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Adilia</w:t>
      </w:r>
      <w:proofErr w:type="spellEnd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 Romero. 26 de octubre de 1988. Unanimidad de votos. Ponente: Arnoldo Nájera Virgen. Secretario: Enrique Crispín Campos Ramírez.</w:t>
      </w: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Amparo en revisión 597/95. Emilio Maurer Bretón. 15 de noviembre de 1995. Unanimidad de votos. Ponente: Clementina Ramírez Moguel </w:t>
      </w:r>
      <w:proofErr w:type="spellStart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Goyzueta</w:t>
      </w:r>
      <w:proofErr w:type="spellEnd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. Secretario: Gonzalo Carrera Molina.</w:t>
      </w:r>
    </w:p>
    <w:p w:rsidR="00F354D8" w:rsidRPr="00C20346" w:rsidRDefault="00F354D8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Cs w:val="24"/>
          <w:lang w:val="es-ES_tradnl" w:eastAsia="es-ES"/>
        </w:rPr>
      </w:pPr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Amparo directo 7/96. Pedro Vicente López Miro. 21 de febrero de 1996. Unanimidad de votos. Ponente: María Eugenia Estela Martínez Cardiel. Secretario: Enrique </w:t>
      </w:r>
      <w:proofErr w:type="spellStart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>Baigts</w:t>
      </w:r>
      <w:proofErr w:type="spellEnd"/>
      <w:r w:rsidRPr="00C20346">
        <w:rPr>
          <w:rFonts w:ascii="Palatino Linotype" w:eastAsiaTheme="minorEastAsia" w:hAnsi="Palatino Linotype" w:cs="Arial"/>
          <w:szCs w:val="24"/>
          <w:lang w:val="es-ES_tradnl" w:eastAsia="es-ES"/>
        </w:rPr>
        <w:t xml:space="preserve"> Muñoz.</w:t>
      </w:r>
    </w:p>
    <w:p w:rsidR="007A5C1B" w:rsidRPr="00630750" w:rsidRDefault="007A5C1B" w:rsidP="00F354D8">
      <w:pPr>
        <w:spacing w:after="0" w:line="360" w:lineRule="auto"/>
        <w:ind w:left="851" w:right="618"/>
        <w:contextualSpacing/>
        <w:jc w:val="both"/>
        <w:rPr>
          <w:rFonts w:ascii="Palatino Linotype" w:eastAsiaTheme="minorEastAsia" w:hAnsi="Palatino Linotype" w:cs="Arial"/>
          <w:sz w:val="24"/>
          <w:szCs w:val="24"/>
          <w:lang w:val="es-ES_tradnl" w:eastAsia="es-ES"/>
        </w:rPr>
      </w:pPr>
    </w:p>
    <w:p w:rsidR="00362134" w:rsidRPr="00630750" w:rsidRDefault="00A13BDF" w:rsidP="0081508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  <w:lang w:eastAsia="es-MX"/>
        </w:rPr>
      </w:pPr>
      <w:r>
        <w:rPr>
          <w:rFonts w:ascii="Palatino Linotype" w:eastAsia="Calibri" w:hAnsi="Palatino Linotype" w:cs="Arial"/>
          <w:sz w:val="24"/>
          <w:szCs w:val="24"/>
        </w:rPr>
        <w:t>Luego entonces</w:t>
      </w:r>
      <w:r w:rsidR="000F1AD8" w:rsidRPr="00630750">
        <w:rPr>
          <w:rFonts w:ascii="Palatino Linotype" w:eastAsia="Calibri" w:hAnsi="Palatino Linotype" w:cs="Arial"/>
          <w:sz w:val="24"/>
          <w:szCs w:val="24"/>
        </w:rPr>
        <w:t xml:space="preserve">, la ponencia </w:t>
      </w:r>
      <w:proofErr w:type="spellStart"/>
      <w:r w:rsidR="000F1AD8" w:rsidRPr="00630750">
        <w:rPr>
          <w:rFonts w:ascii="Palatino Linotype" w:eastAsia="Calibri" w:hAnsi="Palatino Linotype" w:cs="Arial"/>
          <w:sz w:val="24"/>
          <w:szCs w:val="24"/>
        </w:rPr>
        <w:t>resolutora</w:t>
      </w:r>
      <w:proofErr w:type="spellEnd"/>
      <w:r w:rsidR="000F1AD8" w:rsidRPr="00630750">
        <w:rPr>
          <w:rFonts w:ascii="Palatino Linotype" w:eastAsia="Calibri" w:hAnsi="Palatino Linotype" w:cs="Arial"/>
          <w:sz w:val="24"/>
          <w:szCs w:val="24"/>
        </w:rPr>
        <w:t xml:space="preserve"> determino que</w:t>
      </w:r>
      <w:r w:rsidR="00146C7D" w:rsidRPr="00630750">
        <w:rPr>
          <w:rFonts w:ascii="Palatino Linotype" w:eastAsia="Calibri" w:hAnsi="Palatino Linotype" w:cs="Arial"/>
          <w:sz w:val="24"/>
          <w:szCs w:val="24"/>
        </w:rPr>
        <w:t xml:space="preserve"> dado que en fecha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</w:t>
      </w:r>
      <w:r w:rsidR="00146C7D" w:rsidRPr="00630750">
        <w:rPr>
          <w:rFonts w:ascii="Palatino Linotype" w:hAnsi="Palatino Linotype"/>
          <w:sz w:val="24"/>
          <w:szCs w:val="24"/>
        </w:rPr>
        <w:t>veintiocho (28) de agosto de dos mil dieciocho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>,</w:t>
      </w:r>
      <w:r w:rsidR="00146C7D" w:rsidRPr="00630750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>el sujeto obligado</w:t>
      </w:r>
      <w:r>
        <w:rPr>
          <w:rFonts w:ascii="Palatino Linotype" w:hAnsi="Palatino Linotype" w:cs="Arial"/>
          <w:sz w:val="24"/>
          <w:szCs w:val="24"/>
          <w:lang w:val="es-ES_tradnl"/>
        </w:rPr>
        <w:t xml:space="preserve"> exhibió el informe j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>ustificado correspondiente, adjuntando los archivos electrónicos denominados</w:t>
      </w:r>
      <w:r>
        <w:rPr>
          <w:rFonts w:ascii="Palatino Linotype" w:hAnsi="Palatino Linotype" w:cs="Arial"/>
          <w:sz w:val="24"/>
          <w:szCs w:val="24"/>
          <w:lang w:val="es-ES_tradnl"/>
        </w:rPr>
        <w:t>: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</w:t>
      </w:r>
      <w:r w:rsidR="00146C7D" w:rsidRPr="00630750">
        <w:rPr>
          <w:rFonts w:ascii="Palatino Linotype" w:hAnsi="Palatino Linotype"/>
          <w:sz w:val="24"/>
          <w:szCs w:val="24"/>
        </w:rPr>
        <w:t xml:space="preserve">Informe de </w:t>
      </w:r>
      <w:proofErr w:type="spellStart"/>
      <w:r w:rsidR="00146C7D" w:rsidRPr="00630750">
        <w:rPr>
          <w:rFonts w:ascii="Palatino Linotype" w:hAnsi="Palatino Linotype"/>
          <w:sz w:val="24"/>
          <w:szCs w:val="24"/>
        </w:rPr>
        <w:t>Justificacion</w:t>
      </w:r>
      <w:proofErr w:type="spellEnd"/>
      <w:r w:rsidR="00146C7D" w:rsidRPr="00630750">
        <w:rPr>
          <w:rFonts w:ascii="Palatino Linotype" w:hAnsi="Palatino Linotype"/>
          <w:sz w:val="24"/>
          <w:szCs w:val="24"/>
        </w:rPr>
        <w:t xml:space="preserve"> Recurso 02946_INFOEM_IP_RR_2018.pdf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146C7D" w:rsidRPr="00630750">
        <w:rPr>
          <w:rFonts w:ascii="Palatino Linotype" w:hAnsi="Palatino Linotype"/>
          <w:sz w:val="24"/>
          <w:szCs w:val="24"/>
        </w:rPr>
        <w:t>Respuesta Secretaria del Ayuntamiento sol 22-2018.pdf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Respuesta Particular sol 22-2018.pdf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Acta de Sesión de cabildo 109.pdf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Acta de Sesión de cabildo 110.pdf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Acta de Sesión de cabildo 111.pdf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Acta de Sesión de cabildo 112.pdf</w:t>
      </w:r>
      <w:r w:rsidR="00146C7D" w:rsidRPr="00630750">
        <w:rPr>
          <w:rFonts w:ascii="Palatino Linotype" w:hAnsi="Palatino Linotype"/>
          <w:color w:val="000000"/>
          <w:sz w:val="24"/>
          <w:szCs w:val="24"/>
        </w:rPr>
        <w:t>,</w:t>
      </w:r>
      <w:r w:rsidR="00146C7D" w:rsidRPr="00630750">
        <w:rPr>
          <w:rFonts w:ascii="Palatino Linotype" w:hAnsi="Palatino Linotype"/>
          <w:sz w:val="24"/>
          <w:szCs w:val="24"/>
        </w:rPr>
        <w:t xml:space="preserve"> Acta de Sesión de cabildo 113.pdf y Acta de Sesión de cabildo 114.pdf</w:t>
      </w:r>
    </w:p>
    <w:p w:rsidR="00362134" w:rsidRPr="00630750" w:rsidRDefault="00A13BDF" w:rsidP="0081508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  <w:lang w:eastAsia="es-MX"/>
        </w:rPr>
      </w:pPr>
      <w:r>
        <w:rPr>
          <w:rFonts w:ascii="Palatino Linotype" w:hAnsi="Palatino Linotype" w:cs="Arial"/>
          <w:sz w:val="24"/>
          <w:szCs w:val="24"/>
          <w:lang w:val="es-ES_tradnl"/>
        </w:rPr>
        <w:lastRenderedPageBreak/>
        <w:t>Era i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>nformación con la que</w:t>
      </w:r>
      <w:r>
        <w:rPr>
          <w:rFonts w:ascii="Palatino Linotype" w:hAnsi="Palatino Linotype" w:cs="Arial"/>
          <w:sz w:val="24"/>
          <w:szCs w:val="24"/>
          <w:lang w:val="es-ES_tradnl"/>
        </w:rPr>
        <w:t>,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 efectivamente, se hace entrega al recurrente de la información requerida </w:t>
      </w:r>
      <w:r w:rsidR="00146C7D" w:rsidRPr="00630750">
        <w:rPr>
          <w:rFonts w:ascii="Palatino Linotype" w:hAnsi="Palatino Linotype"/>
          <w:bCs/>
          <w:sz w:val="24"/>
          <w:szCs w:val="24"/>
        </w:rPr>
        <w:t xml:space="preserve">mediante </w:t>
      </w:r>
      <w:r w:rsidR="00146C7D" w:rsidRPr="00630750">
        <w:rPr>
          <w:rFonts w:ascii="Palatino Linotype" w:hAnsi="Palatino Linotype" w:cs="Arial"/>
          <w:sz w:val="24"/>
          <w:szCs w:val="24"/>
        </w:rPr>
        <w:t>un</w:t>
      </w:r>
      <w:r w:rsidR="00146C7D" w:rsidRPr="00630750">
        <w:rPr>
          <w:rFonts w:ascii="Palatino Linotype" w:hAnsi="Palatino Linotype"/>
          <w:bCs/>
          <w:sz w:val="24"/>
          <w:szCs w:val="24"/>
        </w:rPr>
        <w:t xml:space="preserve"> acto posterior como </w:t>
      </w:r>
      <w:r>
        <w:rPr>
          <w:rFonts w:ascii="Palatino Linotype" w:hAnsi="Palatino Linotype"/>
          <w:bCs/>
          <w:sz w:val="24"/>
          <w:szCs w:val="24"/>
        </w:rPr>
        <w:t xml:space="preserve">lo </w:t>
      </w:r>
      <w:r w:rsidR="00146C7D" w:rsidRPr="00630750">
        <w:rPr>
          <w:rFonts w:ascii="Palatino Linotype" w:hAnsi="Palatino Linotype"/>
          <w:bCs/>
          <w:sz w:val="24"/>
          <w:szCs w:val="24"/>
        </w:rPr>
        <w:t>e</w:t>
      </w:r>
      <w:r>
        <w:rPr>
          <w:rFonts w:ascii="Palatino Linotype" w:hAnsi="Palatino Linotype"/>
          <w:bCs/>
          <w:sz w:val="24"/>
          <w:szCs w:val="24"/>
        </w:rPr>
        <w:t>s el informe j</w:t>
      </w:r>
      <w:r w:rsidR="00146C7D" w:rsidRPr="00630750">
        <w:rPr>
          <w:rFonts w:ascii="Palatino Linotype" w:hAnsi="Palatino Linotype"/>
          <w:bCs/>
          <w:sz w:val="24"/>
          <w:szCs w:val="24"/>
        </w:rPr>
        <w:t xml:space="preserve">ustificado, tiendo así por </w:t>
      </w:r>
      <w:r w:rsidR="00146C7D" w:rsidRPr="00630750">
        <w:rPr>
          <w:rFonts w:ascii="Palatino Linotype" w:hAnsi="Palatino Linotype" w:cs="Arial"/>
          <w:sz w:val="24"/>
          <w:szCs w:val="24"/>
          <w:lang w:val="es-ES_tradnl"/>
        </w:rPr>
        <w:t xml:space="preserve">satisfecho su derecho humano de acceso a la información pública, </w:t>
      </w:r>
      <w:r w:rsidR="00146C7D" w:rsidRPr="00630750">
        <w:rPr>
          <w:rFonts w:ascii="Palatino Linotype" w:hAnsi="Palatino Linotype" w:cs="Arial"/>
          <w:sz w:val="24"/>
          <w:szCs w:val="24"/>
        </w:rPr>
        <w:t>dejando sin materia la solicitud de información</w:t>
      </w:r>
      <w:r w:rsidR="004F15BB" w:rsidRPr="00630750">
        <w:rPr>
          <w:rFonts w:ascii="Palatino Linotype" w:hAnsi="Palatino Linotype" w:cs="Arial"/>
          <w:sz w:val="24"/>
          <w:szCs w:val="24"/>
        </w:rPr>
        <w:t xml:space="preserve">, invocando </w:t>
      </w:r>
      <w:r>
        <w:rPr>
          <w:rFonts w:ascii="Palatino Linotype" w:hAnsi="Palatino Linotype" w:cs="Arial"/>
          <w:sz w:val="24"/>
          <w:szCs w:val="24"/>
        </w:rPr>
        <w:t xml:space="preserve">para tal efecto </w:t>
      </w:r>
      <w:r w:rsidR="004F15BB" w:rsidRPr="00630750">
        <w:rPr>
          <w:rFonts w:ascii="Palatino Linotype" w:hAnsi="Palatino Linotype" w:cs="Arial"/>
          <w:sz w:val="24"/>
          <w:szCs w:val="24"/>
        </w:rPr>
        <w:t>dentro del</w:t>
      </w:r>
      <w:r w:rsidR="00146C7D" w:rsidRPr="00630750">
        <w:rPr>
          <w:rFonts w:ascii="Palatino Linotype" w:hAnsi="Palatino Linotype" w:cs="Arial"/>
          <w:sz w:val="24"/>
          <w:szCs w:val="24"/>
        </w:rPr>
        <w:t xml:space="preserve"> estudio </w:t>
      </w:r>
      <w:r w:rsidR="004F15BB" w:rsidRPr="00630750">
        <w:rPr>
          <w:rFonts w:ascii="Palatino Linotype" w:hAnsi="Palatino Linotype" w:cs="Arial"/>
          <w:sz w:val="24"/>
          <w:szCs w:val="24"/>
        </w:rPr>
        <w:t>de la resolución</w:t>
      </w:r>
      <w:r>
        <w:rPr>
          <w:rFonts w:ascii="Palatino Linotype" w:hAnsi="Palatino Linotype" w:cs="Arial"/>
          <w:sz w:val="24"/>
          <w:szCs w:val="24"/>
        </w:rPr>
        <w:t>,</w:t>
      </w:r>
      <w:r w:rsidR="004F15BB" w:rsidRPr="00630750">
        <w:rPr>
          <w:rFonts w:ascii="Palatino Linotype" w:hAnsi="Palatino Linotype" w:cs="Arial"/>
          <w:sz w:val="24"/>
          <w:szCs w:val="24"/>
        </w:rPr>
        <w:t xml:space="preserve"> </w:t>
      </w:r>
      <w:r w:rsidR="00146C7D" w:rsidRPr="00630750">
        <w:rPr>
          <w:rFonts w:ascii="Palatino Linotype" w:hAnsi="Palatino Linotype" w:cs="Arial"/>
          <w:sz w:val="24"/>
          <w:szCs w:val="24"/>
        </w:rPr>
        <w:t xml:space="preserve">la fracción III del </w:t>
      </w:r>
      <w:r w:rsidR="004F15BB" w:rsidRPr="00630750">
        <w:rPr>
          <w:rFonts w:ascii="Palatino Linotype" w:hAnsi="Palatino Linotype" w:cs="Arial"/>
          <w:sz w:val="24"/>
          <w:szCs w:val="24"/>
        </w:rPr>
        <w:t>artículo</w:t>
      </w:r>
      <w:r w:rsidR="00146C7D" w:rsidRPr="00630750">
        <w:rPr>
          <w:rFonts w:ascii="Palatino Linotype" w:hAnsi="Palatino Linotype" w:cs="Arial"/>
          <w:sz w:val="24"/>
          <w:szCs w:val="24"/>
        </w:rPr>
        <w:t xml:space="preserve"> </w:t>
      </w:r>
      <w:r w:rsidR="004F15BB" w:rsidRPr="00630750">
        <w:rPr>
          <w:rFonts w:ascii="Palatino Linotype" w:hAnsi="Palatino Linotype" w:cs="Arial"/>
          <w:sz w:val="24"/>
          <w:szCs w:val="24"/>
        </w:rPr>
        <w:t>192 antes transcrito, fracción III</w:t>
      </w:r>
      <w:r>
        <w:rPr>
          <w:rFonts w:ascii="Palatino Linotype" w:hAnsi="Palatino Linotype" w:cs="Arial"/>
          <w:sz w:val="24"/>
          <w:szCs w:val="24"/>
        </w:rPr>
        <w:t xml:space="preserve">, que </w:t>
      </w:r>
      <w:r w:rsidR="004F15BB" w:rsidRPr="00630750">
        <w:rPr>
          <w:rFonts w:ascii="Palatino Linotype" w:hAnsi="Palatino Linotype" w:cs="Arial"/>
          <w:sz w:val="24"/>
          <w:szCs w:val="24"/>
        </w:rPr>
        <w:t>determina puntualmente que cuando el sujeto obligado responsable del acto lo modifique o revoque de tal manera que el recurso de revisión quede sin materia.</w:t>
      </w:r>
    </w:p>
    <w:p w:rsidR="004F15BB" w:rsidRPr="00630750" w:rsidRDefault="004F15BB" w:rsidP="004F15BB">
      <w:pPr>
        <w:pStyle w:val="Prrafodelista"/>
        <w:rPr>
          <w:rFonts w:ascii="Palatino Linotype" w:hAnsi="Palatino Linotype"/>
          <w:color w:val="FF0000"/>
          <w:sz w:val="24"/>
          <w:szCs w:val="24"/>
          <w:lang w:eastAsia="es-MX"/>
        </w:rPr>
      </w:pPr>
    </w:p>
    <w:p w:rsidR="004F15BB" w:rsidRDefault="004F15BB" w:rsidP="0098322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Efectivamente,  dado que el sujeto obligado en un hecho posterior remitió la información solicitada, 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disolvió</w:t>
      </w: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la hipótesis primeramente actualizada; es decir la negativa ficta, 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por lo que </w:t>
      </w: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la Ponencia </w:t>
      </w:r>
      <w:proofErr w:type="spellStart"/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Resolutora</w:t>
      </w:r>
      <w:proofErr w:type="spellEnd"/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no debió resolver, determinando únicamente que se quedaba sin materia la resolución de mérito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,</w:t>
      </w: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como se desprende de su 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resolutivo</w:t>
      </w: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p</w:t>
      </w:r>
      <w:r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rimero. Dado que la multicitada fracción III del artículo 192 es puntual en señalar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que el recurso será sobreseído cuando el sujeto obligado responsable del acto lo </w:t>
      </w:r>
      <w:r w:rsidR="0098322D" w:rsidRPr="00376456">
        <w:rPr>
          <w:rFonts w:ascii="Palatino Linotype" w:hAnsi="Palatino Linotype"/>
          <w:b/>
          <w:color w:val="000000" w:themeColor="text1"/>
          <w:sz w:val="24"/>
          <w:szCs w:val="24"/>
          <w:u w:val="single"/>
          <w:lang w:eastAsia="es-MX"/>
        </w:rPr>
        <w:t>modifique o</w:t>
      </w:r>
      <w:r w:rsidR="0098322D" w:rsidRPr="00376456">
        <w:rPr>
          <w:rFonts w:ascii="Palatino Linotype" w:hAnsi="Palatino Linotype"/>
          <w:color w:val="000000" w:themeColor="text1"/>
          <w:sz w:val="24"/>
          <w:szCs w:val="24"/>
          <w:u w:val="single"/>
          <w:lang w:eastAsia="es-MX"/>
        </w:rPr>
        <w:t xml:space="preserve"> </w:t>
      </w:r>
      <w:r w:rsidR="0098322D" w:rsidRPr="00376456">
        <w:rPr>
          <w:rFonts w:ascii="Palatino Linotype" w:hAnsi="Palatino Linotype"/>
          <w:b/>
          <w:color w:val="000000" w:themeColor="text1"/>
          <w:sz w:val="24"/>
          <w:szCs w:val="24"/>
          <w:u w:val="single"/>
          <w:lang w:eastAsia="es-MX"/>
        </w:rPr>
        <w:t>revoque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, supuestos a los que no se dio observancia al momento de resolver. </w:t>
      </w:r>
      <w:r w:rsidR="00A13BDF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Dado que como se </w:t>
      </w:r>
      <w:r w:rsidR="0037645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estableció</w:t>
      </w:r>
      <w:r w:rsidR="00A13BDF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, es conforme a la fracción V.</w:t>
      </w:r>
    </w:p>
    <w:p w:rsidR="00A13BDF" w:rsidRDefault="00A13BDF" w:rsidP="00A13BDF">
      <w:pPr>
        <w:pStyle w:val="Prrafodelista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</w:p>
    <w:p w:rsidR="00A13BDF" w:rsidRPr="00C20346" w:rsidRDefault="00A13BDF" w:rsidP="00A13BDF">
      <w:pPr>
        <w:pStyle w:val="Sinespaciado"/>
        <w:numPr>
          <w:ilvl w:val="0"/>
          <w:numId w:val="2"/>
        </w:numPr>
        <w:spacing w:line="360" w:lineRule="auto"/>
        <w:ind w:left="357" w:hanging="357"/>
        <w:jc w:val="both"/>
        <w:rPr>
          <w:rFonts w:ascii="Palatino Linotype" w:hAnsi="Palatino Linotype"/>
          <w:sz w:val="24"/>
          <w:szCs w:val="20"/>
          <w:u w:val="single"/>
        </w:rPr>
      </w:pPr>
      <w:r w:rsidRPr="00A13BDF">
        <w:rPr>
          <w:rFonts w:ascii="Palatino Linotype" w:hAnsi="Palatino Linotype"/>
          <w:sz w:val="24"/>
          <w:szCs w:val="20"/>
        </w:rPr>
        <w:t xml:space="preserve">La fracción III prevé el sobreseimiento por dos circunstancias, que el sujeto obligado </w:t>
      </w:r>
      <w:r w:rsidRPr="00376456">
        <w:rPr>
          <w:rFonts w:ascii="Palatino Linotype" w:hAnsi="Palatino Linotype"/>
          <w:b/>
          <w:sz w:val="24"/>
          <w:szCs w:val="20"/>
        </w:rPr>
        <w:t xml:space="preserve">modifique o revoque </w:t>
      </w:r>
      <w:r w:rsidRPr="00A13BDF">
        <w:rPr>
          <w:rFonts w:ascii="Palatino Linotype" w:hAnsi="Palatino Linotype"/>
          <w:sz w:val="24"/>
          <w:szCs w:val="20"/>
        </w:rPr>
        <w:t xml:space="preserve">el acto reclamado; lo que hace que en la fracción V puedan aparecer otras que no se hayan contemplado y que sean distintas a las </w:t>
      </w:r>
      <w:r w:rsidR="00376456">
        <w:rPr>
          <w:rFonts w:ascii="Palatino Linotype" w:hAnsi="Palatino Linotype"/>
          <w:sz w:val="24"/>
          <w:szCs w:val="20"/>
        </w:rPr>
        <w:lastRenderedPageBreak/>
        <w:t>señaladas en la fracción III;</w:t>
      </w:r>
      <w:r w:rsidRPr="00A13BDF">
        <w:rPr>
          <w:rFonts w:ascii="Palatino Linotype" w:hAnsi="Palatino Linotype"/>
          <w:sz w:val="24"/>
          <w:szCs w:val="20"/>
        </w:rPr>
        <w:t xml:space="preserve"> por ejemplo, que al momento de interponer su recurso de revisión, el recurrente impugne un acto de un sujeto obligado distinto al que conoció de su solicitud de información primigenia, o cuando derivado de una solicitud de información y ante la negativa del sujeto obligado de dar respuesta, al momento de realizar el análisis minucioso del asunto, se determina que es notoriamente incompetente el sujeto obligado para dar contestación a la solicitud y entregar la información.</w:t>
      </w:r>
    </w:p>
    <w:p w:rsidR="00C20346" w:rsidRDefault="00C20346" w:rsidP="00C20346">
      <w:pPr>
        <w:pStyle w:val="Prrafodelista"/>
        <w:rPr>
          <w:rFonts w:ascii="Palatino Linotype" w:hAnsi="Palatino Linotype"/>
          <w:sz w:val="24"/>
          <w:szCs w:val="20"/>
          <w:u w:val="single"/>
        </w:rPr>
      </w:pPr>
    </w:p>
    <w:p w:rsidR="00C20346" w:rsidRPr="00C20346" w:rsidRDefault="00C20346" w:rsidP="00C20346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0"/>
        </w:rPr>
      </w:pPr>
      <w:r w:rsidRPr="00C20346">
        <w:rPr>
          <w:rFonts w:ascii="Palatino Linotype" w:hAnsi="Palatino Linotype"/>
          <w:sz w:val="24"/>
          <w:szCs w:val="20"/>
        </w:rPr>
        <w:t xml:space="preserve">Por su parte la fracción III, se actualiza en el caso de que el Sujeto Obligado modifique o revoque su respuesta, ya sea ampliándola en su </w:t>
      </w:r>
      <w:r>
        <w:rPr>
          <w:rFonts w:ascii="Palatino Linotype" w:hAnsi="Palatino Linotype"/>
          <w:sz w:val="24"/>
          <w:szCs w:val="20"/>
        </w:rPr>
        <w:t>informe j</w:t>
      </w:r>
      <w:r w:rsidRPr="00C20346">
        <w:rPr>
          <w:rFonts w:ascii="Palatino Linotype" w:hAnsi="Palatino Linotype"/>
          <w:sz w:val="24"/>
          <w:szCs w:val="20"/>
        </w:rPr>
        <w:t>ustificado o alcance al mismo, de forma que colme la pretensión del recurrente mediante la entrega de la información completa.</w:t>
      </w:r>
    </w:p>
    <w:p w:rsidR="0098322D" w:rsidRPr="00630750" w:rsidRDefault="0098322D" w:rsidP="0098322D">
      <w:pPr>
        <w:pStyle w:val="Prrafodelista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</w:p>
    <w:p w:rsidR="0098322D" w:rsidRPr="00630750" w:rsidRDefault="00C20346" w:rsidP="00A0789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  <w:sz w:val="24"/>
          <w:szCs w:val="24"/>
          <w:lang w:eastAsia="es-MX"/>
        </w:rPr>
      </w:pPr>
      <w:r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Luego entonces, e</w:t>
      </w:r>
      <w:r w:rsidR="0037645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n el asunto que nos ocupa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, debió </w:t>
      </w:r>
      <w:r w:rsidR="0037645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resolverse conforme la fracción III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dado que resulto evidente que el sujeto obligado con la rendición del informe justificado, </w:t>
      </w:r>
      <w:r w:rsidR="00A0789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así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como el </w:t>
      </w:r>
      <w:r w:rsidR="00A0789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envío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de la </w:t>
      </w:r>
      <w:r w:rsidR="00A0789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información</w:t>
      </w:r>
      <w:r w:rsidR="0098322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peticionada </w:t>
      </w:r>
      <w:r w:rsidR="00A0789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revoco; es decir, dejó sin efecto el acto jurídico </w:t>
      </w:r>
      <w:r w:rsidR="003246CE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objeto del</w:t>
      </w:r>
      <w:r w:rsidR="00A0789D" w:rsidRPr="00630750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 xml:space="preserve"> recurso de revisión</w:t>
      </w:r>
      <w:r w:rsidR="00376456">
        <w:rPr>
          <w:rFonts w:ascii="Palatino Linotype" w:hAnsi="Palatino Linotype"/>
          <w:color w:val="000000" w:themeColor="text1"/>
          <w:sz w:val="24"/>
          <w:szCs w:val="24"/>
          <w:lang w:eastAsia="es-MX"/>
        </w:rPr>
        <w:t>, hecho que como se desprende del resolutivo primero, no ocurrió.</w:t>
      </w:r>
    </w:p>
    <w:p w:rsidR="00362134" w:rsidRPr="00630750" w:rsidRDefault="00362134" w:rsidP="003246CE">
      <w:pPr>
        <w:spacing w:after="0" w:line="360" w:lineRule="auto"/>
        <w:ind w:left="360"/>
        <w:contextualSpacing/>
        <w:jc w:val="both"/>
        <w:rPr>
          <w:rFonts w:ascii="Palatino Linotype" w:hAnsi="Palatino Linotype"/>
          <w:color w:val="FF0000"/>
          <w:sz w:val="24"/>
          <w:szCs w:val="24"/>
          <w:lang w:eastAsia="es-MX"/>
        </w:rPr>
      </w:pPr>
    </w:p>
    <w:p w:rsidR="003246CE" w:rsidRPr="00630750" w:rsidRDefault="003246CE" w:rsidP="003246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630750">
        <w:rPr>
          <w:rFonts w:ascii="Palatino Linotype" w:hAnsi="Palatino Linotype" w:cs="Arial"/>
          <w:sz w:val="24"/>
          <w:szCs w:val="24"/>
        </w:rPr>
        <w:t>En razón a las consideraciones antes señaladas, es que no puedo compartir</w:t>
      </w:r>
      <w:r w:rsidR="00376456">
        <w:rPr>
          <w:rFonts w:ascii="Palatino Linotype" w:hAnsi="Palatino Linotype" w:cs="Arial"/>
          <w:sz w:val="24"/>
          <w:szCs w:val="24"/>
        </w:rPr>
        <w:t xml:space="preserve"> en su totalidad</w:t>
      </w:r>
      <w:r w:rsidRPr="00630750">
        <w:rPr>
          <w:rFonts w:ascii="Palatino Linotype" w:hAnsi="Palatino Linotype" w:cs="Arial"/>
          <w:sz w:val="24"/>
          <w:szCs w:val="24"/>
        </w:rPr>
        <w:t xml:space="preserve"> la manera de resolver el recurso de revisión adoptado para sobreseerlo, motivando el presente voto particular.</w:t>
      </w:r>
    </w:p>
    <w:p w:rsidR="003246CE" w:rsidRPr="00630750" w:rsidRDefault="003246CE" w:rsidP="003246C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630750">
        <w:rPr>
          <w:rFonts w:ascii="Palatino Linotype" w:hAnsi="Palatino Linotype" w:cs="Arial"/>
          <w:sz w:val="24"/>
          <w:szCs w:val="24"/>
        </w:rPr>
        <w:lastRenderedPageBreak/>
        <w:t>Este Órgano Garante debe revisar en forma minuciosa en todos los casos, las hipótesis</w:t>
      </w:r>
      <w:r w:rsidR="00376456">
        <w:rPr>
          <w:rFonts w:ascii="Palatino Linotype" w:hAnsi="Palatino Linotype" w:cs="Arial"/>
          <w:sz w:val="24"/>
          <w:szCs w:val="24"/>
        </w:rPr>
        <w:t xml:space="preserve"> normativas</w:t>
      </w:r>
      <w:r w:rsidRPr="00630750">
        <w:rPr>
          <w:rFonts w:ascii="Palatino Linotype" w:hAnsi="Palatino Linotype" w:cs="Arial"/>
          <w:sz w:val="24"/>
          <w:szCs w:val="24"/>
        </w:rPr>
        <w:t xml:space="preserve"> </w:t>
      </w:r>
      <w:r w:rsidR="00630750" w:rsidRPr="00630750">
        <w:rPr>
          <w:rFonts w:ascii="Palatino Linotype" w:hAnsi="Palatino Linotype" w:cs="Arial"/>
          <w:sz w:val="24"/>
          <w:szCs w:val="24"/>
        </w:rPr>
        <w:t>que se actualizan, a efecto de resolver con base en ellas</w:t>
      </w:r>
      <w:r w:rsidR="00376456">
        <w:rPr>
          <w:rFonts w:ascii="Palatino Linotype" w:hAnsi="Palatino Linotype" w:cs="Arial"/>
          <w:sz w:val="24"/>
          <w:szCs w:val="24"/>
        </w:rPr>
        <w:t xml:space="preserve"> y</w:t>
      </w:r>
      <w:r w:rsidRPr="00630750">
        <w:rPr>
          <w:rFonts w:ascii="Palatino Linotype" w:hAnsi="Palatino Linotype" w:cs="Arial"/>
          <w:sz w:val="24"/>
          <w:szCs w:val="24"/>
        </w:rPr>
        <w:t xml:space="preserve"> garantizar</w:t>
      </w:r>
      <w:r w:rsidR="00376456">
        <w:rPr>
          <w:rFonts w:ascii="Palatino Linotype" w:hAnsi="Palatino Linotype" w:cs="Arial"/>
          <w:sz w:val="24"/>
          <w:szCs w:val="24"/>
        </w:rPr>
        <w:t xml:space="preserve"> el derecho fundamental con estricto apego a la norma.</w:t>
      </w:r>
    </w:p>
    <w:p w:rsidR="00466F45" w:rsidRPr="00630750" w:rsidRDefault="00466F45" w:rsidP="003246CE">
      <w:pPr>
        <w:pStyle w:val="Prrafodelista"/>
        <w:spacing w:after="0" w:line="360" w:lineRule="auto"/>
        <w:ind w:left="360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D5AEA" w:rsidRPr="00630750" w:rsidRDefault="000D5AEA" w:rsidP="000D5AEA">
      <w:pPr>
        <w:spacing w:line="360" w:lineRule="auto"/>
        <w:ind w:left="360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D5AEA" w:rsidRPr="00630750" w:rsidRDefault="000D5AEA" w:rsidP="000D5AEA">
      <w:pPr>
        <w:spacing w:line="360" w:lineRule="auto"/>
        <w:jc w:val="center"/>
        <w:rPr>
          <w:rFonts w:ascii="Palatino Linotype" w:eastAsia="Calibri" w:hAnsi="Palatino Linotype" w:cs="Arial"/>
          <w:b/>
          <w:sz w:val="24"/>
          <w:szCs w:val="24"/>
        </w:rPr>
      </w:pPr>
      <w:r w:rsidRPr="00630750">
        <w:rPr>
          <w:rFonts w:ascii="Palatino Linotype" w:eastAsia="Calibri" w:hAnsi="Palatino Linotype" w:cs="Arial"/>
          <w:b/>
          <w:sz w:val="24"/>
          <w:szCs w:val="24"/>
        </w:rPr>
        <w:t>JOSÉ GUADALUPE LUNA HERNÁNDEZ</w:t>
      </w:r>
    </w:p>
    <w:p w:rsidR="000D5AEA" w:rsidRPr="00630750" w:rsidRDefault="000D5AEA" w:rsidP="000D5AEA">
      <w:pPr>
        <w:jc w:val="center"/>
        <w:rPr>
          <w:rFonts w:ascii="Palatino Linotype" w:eastAsia="Calibri" w:hAnsi="Palatino Linotype" w:cs="Arial"/>
          <w:b/>
          <w:color w:val="0D0D0D" w:themeColor="text1" w:themeTint="F2"/>
          <w:sz w:val="24"/>
          <w:szCs w:val="24"/>
        </w:rPr>
      </w:pPr>
      <w:r w:rsidRPr="00630750">
        <w:rPr>
          <w:rFonts w:ascii="Palatino Linotype" w:eastAsia="Calibri" w:hAnsi="Palatino Linotype" w:cs="Arial"/>
          <w:b/>
          <w:color w:val="0D0D0D" w:themeColor="text1" w:themeTint="F2"/>
          <w:sz w:val="24"/>
          <w:szCs w:val="24"/>
        </w:rPr>
        <w:t>COMISIONADO</w:t>
      </w:r>
    </w:p>
    <w:p w:rsidR="00A640C7" w:rsidRPr="00630750" w:rsidRDefault="00A93DB3" w:rsidP="000D5AEA">
      <w:pPr>
        <w:jc w:val="center"/>
        <w:rPr>
          <w:rFonts w:ascii="Palatino Linotype" w:eastAsia="Calibri" w:hAnsi="Palatino Linotype" w:cs="Times New Roman"/>
          <w:color w:val="0D0D0D" w:themeColor="text1" w:themeTint="F2"/>
          <w:sz w:val="24"/>
          <w:szCs w:val="24"/>
        </w:rPr>
      </w:pPr>
      <w:r w:rsidRPr="00630750">
        <w:rPr>
          <w:rFonts w:ascii="Palatino Linotype" w:eastAsia="Calibri" w:hAnsi="Palatino Linotype" w:cs="Arial"/>
          <w:b/>
          <w:color w:val="0D0D0D" w:themeColor="text1" w:themeTint="F2"/>
          <w:sz w:val="24"/>
          <w:szCs w:val="24"/>
        </w:rPr>
        <w:t>(RÚBRICA)</w:t>
      </w:r>
    </w:p>
    <w:sectPr w:rsidR="00A640C7" w:rsidRPr="00630750" w:rsidSect="00BB488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495" w:right="1701" w:bottom="249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24" w:rsidRDefault="00F02924" w:rsidP="00E82D3D">
      <w:pPr>
        <w:spacing w:after="0" w:line="240" w:lineRule="auto"/>
      </w:pPr>
      <w:r>
        <w:separator/>
      </w:r>
    </w:p>
  </w:endnote>
  <w:endnote w:type="continuationSeparator" w:id="0">
    <w:p w:rsidR="00F02924" w:rsidRDefault="00F02924" w:rsidP="00E8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097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1AD8" w:rsidRDefault="000F1AD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D2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D2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1AD8" w:rsidRDefault="000F1AD8" w:rsidP="00BB488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24" w:rsidRDefault="00F02924" w:rsidP="00E82D3D">
      <w:pPr>
        <w:spacing w:after="0" w:line="240" w:lineRule="auto"/>
      </w:pPr>
      <w:r>
        <w:separator/>
      </w:r>
    </w:p>
  </w:footnote>
  <w:footnote w:type="continuationSeparator" w:id="0">
    <w:p w:rsidR="00F02924" w:rsidRDefault="00F02924" w:rsidP="00E8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D8" w:rsidRDefault="00F029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5" o:spid="_x0000_s2049" type="#_x0000_t136" style="position:absolute;margin-left:0;margin-top:0;width:557.4pt;height:65.5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D8" w:rsidRDefault="00F029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6" o:spid="_x0000_s2050" type="#_x0000_t136" style="position:absolute;margin-left:0;margin-top:0;width:557.4pt;height:65.5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  <w:p w:rsidR="000F1AD8" w:rsidRDefault="000F1A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D8" w:rsidRDefault="00F029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4" o:spid="_x0000_s2051" type="#_x0000_t136" style="position:absolute;margin-left:0;margin-top:0;width:557.4pt;height:65.5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367B"/>
    <w:multiLevelType w:val="hybridMultilevel"/>
    <w:tmpl w:val="41ACC94C"/>
    <w:lvl w:ilvl="0" w:tplc="DC6CA382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97840"/>
    <w:multiLevelType w:val="hybridMultilevel"/>
    <w:tmpl w:val="1B56FAFE"/>
    <w:lvl w:ilvl="0" w:tplc="65EA42B2">
      <w:start w:val="5"/>
      <w:numFmt w:val="upperRoman"/>
      <w:lvlText w:val="%1."/>
      <w:lvlJc w:val="left"/>
      <w:pPr>
        <w:ind w:left="1080" w:hanging="720"/>
      </w:pPr>
      <w:rPr>
        <w:rFonts w:ascii="Palatino Linotype" w:eastAsiaTheme="majorEastAsia" w:hAnsi="Palatino Linotype" w:cstheme="majorBid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870FC"/>
    <w:multiLevelType w:val="hybridMultilevel"/>
    <w:tmpl w:val="C7965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461A"/>
    <w:multiLevelType w:val="hybridMultilevel"/>
    <w:tmpl w:val="321A5CDC"/>
    <w:lvl w:ilvl="0" w:tplc="730A9F78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713D7"/>
    <w:multiLevelType w:val="hybridMultilevel"/>
    <w:tmpl w:val="9470F55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6250DB"/>
    <w:multiLevelType w:val="hybridMultilevel"/>
    <w:tmpl w:val="484E3100"/>
    <w:lvl w:ilvl="0" w:tplc="24DECF3E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B1660"/>
    <w:multiLevelType w:val="hybridMultilevel"/>
    <w:tmpl w:val="2FDC659E"/>
    <w:lvl w:ilvl="0" w:tplc="A2E0D7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7899"/>
    <w:multiLevelType w:val="hybridMultilevel"/>
    <w:tmpl w:val="D4323CD8"/>
    <w:lvl w:ilvl="0" w:tplc="6B44A0F4">
      <w:start w:val="4"/>
      <w:numFmt w:val="upperRoman"/>
      <w:lvlText w:val="%1."/>
      <w:lvlJc w:val="left"/>
      <w:pPr>
        <w:ind w:left="720" w:hanging="720"/>
      </w:pPr>
      <w:rPr>
        <w:rFonts w:ascii="Palatino Linotype" w:eastAsiaTheme="majorEastAsia" w:hAnsi="Palatino Linotype" w:cstheme="majorBid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A2F11"/>
    <w:multiLevelType w:val="hybridMultilevel"/>
    <w:tmpl w:val="B27E018C"/>
    <w:lvl w:ilvl="0" w:tplc="6B609CCE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371B5"/>
    <w:multiLevelType w:val="hybridMultilevel"/>
    <w:tmpl w:val="FC7A905E"/>
    <w:lvl w:ilvl="0" w:tplc="7720A174">
      <w:start w:val="26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C33E2"/>
    <w:multiLevelType w:val="hybridMultilevel"/>
    <w:tmpl w:val="28CED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84B87"/>
    <w:multiLevelType w:val="hybridMultilevel"/>
    <w:tmpl w:val="76923F2E"/>
    <w:lvl w:ilvl="0" w:tplc="4B8A633C">
      <w:start w:val="66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65F88"/>
    <w:multiLevelType w:val="hybridMultilevel"/>
    <w:tmpl w:val="89CA7E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D38DF"/>
    <w:multiLevelType w:val="hybridMultilevel"/>
    <w:tmpl w:val="082CF316"/>
    <w:lvl w:ilvl="0" w:tplc="ED78C648">
      <w:start w:val="65"/>
      <w:numFmt w:val="decimal"/>
      <w:lvlText w:val="%1."/>
      <w:lvlJc w:val="left"/>
      <w:pPr>
        <w:ind w:left="1428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279B"/>
    <w:multiLevelType w:val="hybridMultilevel"/>
    <w:tmpl w:val="525AD46E"/>
    <w:lvl w:ilvl="0" w:tplc="1666AEF4">
      <w:start w:val="77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65C2B"/>
    <w:multiLevelType w:val="hybridMultilevel"/>
    <w:tmpl w:val="706654C6"/>
    <w:lvl w:ilvl="0" w:tplc="2F98288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E193E"/>
    <w:multiLevelType w:val="hybridMultilevel"/>
    <w:tmpl w:val="592094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C6B62"/>
    <w:multiLevelType w:val="hybridMultilevel"/>
    <w:tmpl w:val="F7D2C972"/>
    <w:lvl w:ilvl="0" w:tplc="AF78355C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D6F24"/>
    <w:multiLevelType w:val="hybridMultilevel"/>
    <w:tmpl w:val="FFDC6926"/>
    <w:lvl w:ilvl="0" w:tplc="439075FA">
      <w:start w:val="4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661F8"/>
    <w:multiLevelType w:val="hybridMultilevel"/>
    <w:tmpl w:val="87F424B2"/>
    <w:lvl w:ilvl="0" w:tplc="228CA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D29D4"/>
    <w:multiLevelType w:val="hybridMultilevel"/>
    <w:tmpl w:val="EBAA6EAC"/>
    <w:lvl w:ilvl="0" w:tplc="CD5E21F2">
      <w:start w:val="7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142AD"/>
    <w:multiLevelType w:val="hybridMultilevel"/>
    <w:tmpl w:val="2FDC7368"/>
    <w:lvl w:ilvl="0" w:tplc="F252EA7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D6497E"/>
    <w:multiLevelType w:val="hybridMultilevel"/>
    <w:tmpl w:val="82BCF7CA"/>
    <w:lvl w:ilvl="0" w:tplc="55F63ECE">
      <w:start w:val="4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45554"/>
    <w:multiLevelType w:val="hybridMultilevel"/>
    <w:tmpl w:val="A1A84E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A3498B"/>
    <w:multiLevelType w:val="hybridMultilevel"/>
    <w:tmpl w:val="3B545E18"/>
    <w:lvl w:ilvl="0" w:tplc="23EEA502">
      <w:start w:val="56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202FA"/>
    <w:multiLevelType w:val="hybridMultilevel"/>
    <w:tmpl w:val="FBEC24F0"/>
    <w:lvl w:ilvl="0" w:tplc="9B2A271E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hint="default"/>
        <w:b/>
        <w:strike w:val="0"/>
        <w:color w:val="0D0D0D" w:themeColor="text1" w:themeTint="F2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D7DCB"/>
    <w:multiLevelType w:val="hybridMultilevel"/>
    <w:tmpl w:val="4C642158"/>
    <w:lvl w:ilvl="0" w:tplc="7CF0AB3C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B1BAE"/>
    <w:multiLevelType w:val="hybridMultilevel"/>
    <w:tmpl w:val="5D064894"/>
    <w:lvl w:ilvl="0" w:tplc="B860BA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D2CB1"/>
    <w:multiLevelType w:val="hybridMultilevel"/>
    <w:tmpl w:val="562AFB06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5E6C2114"/>
    <w:multiLevelType w:val="hybridMultilevel"/>
    <w:tmpl w:val="5652E10C"/>
    <w:lvl w:ilvl="0" w:tplc="04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A50FF6"/>
    <w:multiLevelType w:val="hybridMultilevel"/>
    <w:tmpl w:val="E29CFFB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847838"/>
    <w:multiLevelType w:val="hybridMultilevel"/>
    <w:tmpl w:val="737E08E8"/>
    <w:lvl w:ilvl="0" w:tplc="0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E7976DF"/>
    <w:multiLevelType w:val="hybridMultilevel"/>
    <w:tmpl w:val="1EBC6AC8"/>
    <w:lvl w:ilvl="0" w:tplc="7F38EEE8">
      <w:start w:val="5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C1AB8"/>
    <w:multiLevelType w:val="hybridMultilevel"/>
    <w:tmpl w:val="9614ECC8"/>
    <w:lvl w:ilvl="0" w:tplc="F2D8E9C6">
      <w:start w:val="27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hint="default"/>
        <w:b/>
        <w:strike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40145"/>
    <w:multiLevelType w:val="hybridMultilevel"/>
    <w:tmpl w:val="A914E30C"/>
    <w:lvl w:ilvl="0" w:tplc="1460E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95EEB"/>
    <w:multiLevelType w:val="hybridMultilevel"/>
    <w:tmpl w:val="EAFC6354"/>
    <w:lvl w:ilvl="0" w:tplc="FAA8B6DC">
      <w:start w:val="1"/>
      <w:numFmt w:val="ordinalText"/>
      <w:lvlText w:val="%1."/>
      <w:lvlJc w:val="left"/>
      <w:pPr>
        <w:ind w:left="502" w:hanging="360"/>
      </w:pPr>
      <w:rPr>
        <w:rFonts w:hint="default"/>
        <w:b/>
        <w:caps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32FC3"/>
    <w:multiLevelType w:val="hybridMultilevel"/>
    <w:tmpl w:val="0204C632"/>
    <w:lvl w:ilvl="0" w:tplc="40E4F992">
      <w:start w:val="53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B6589"/>
    <w:multiLevelType w:val="hybridMultilevel"/>
    <w:tmpl w:val="0FBE5B0C"/>
    <w:lvl w:ilvl="0" w:tplc="344009A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31"/>
  </w:num>
  <w:num w:numId="5">
    <w:abstractNumId w:val="29"/>
  </w:num>
  <w:num w:numId="6">
    <w:abstractNumId w:val="30"/>
  </w:num>
  <w:num w:numId="7">
    <w:abstractNumId w:val="23"/>
  </w:num>
  <w:num w:numId="8">
    <w:abstractNumId w:val="4"/>
  </w:num>
  <w:num w:numId="9">
    <w:abstractNumId w:val="0"/>
  </w:num>
  <w:num w:numId="10">
    <w:abstractNumId w:val="15"/>
  </w:num>
  <w:num w:numId="11">
    <w:abstractNumId w:val="21"/>
  </w:num>
  <w:num w:numId="12">
    <w:abstractNumId w:val="5"/>
  </w:num>
  <w:num w:numId="13">
    <w:abstractNumId w:val="26"/>
  </w:num>
  <w:num w:numId="14">
    <w:abstractNumId w:val="37"/>
  </w:num>
  <w:num w:numId="15">
    <w:abstractNumId w:val="1"/>
  </w:num>
  <w:num w:numId="16">
    <w:abstractNumId w:val="9"/>
  </w:num>
  <w:num w:numId="17">
    <w:abstractNumId w:val="33"/>
  </w:num>
  <w:num w:numId="18">
    <w:abstractNumId w:val="18"/>
  </w:num>
  <w:num w:numId="19">
    <w:abstractNumId w:val="22"/>
  </w:num>
  <w:num w:numId="20">
    <w:abstractNumId w:val="32"/>
  </w:num>
  <w:num w:numId="21">
    <w:abstractNumId w:val="36"/>
  </w:num>
  <w:num w:numId="22">
    <w:abstractNumId w:val="24"/>
  </w:num>
  <w:num w:numId="23">
    <w:abstractNumId w:val="13"/>
  </w:num>
  <w:num w:numId="24">
    <w:abstractNumId w:val="11"/>
  </w:num>
  <w:num w:numId="25">
    <w:abstractNumId w:val="20"/>
  </w:num>
  <w:num w:numId="26">
    <w:abstractNumId w:val="14"/>
  </w:num>
  <w:num w:numId="27">
    <w:abstractNumId w:val="10"/>
  </w:num>
  <w:num w:numId="28">
    <w:abstractNumId w:val="7"/>
  </w:num>
  <w:num w:numId="29">
    <w:abstractNumId w:val="6"/>
  </w:num>
  <w:num w:numId="30">
    <w:abstractNumId w:val="3"/>
  </w:num>
  <w:num w:numId="31">
    <w:abstractNumId w:val="16"/>
  </w:num>
  <w:num w:numId="32">
    <w:abstractNumId w:val="2"/>
  </w:num>
  <w:num w:numId="33">
    <w:abstractNumId w:val="12"/>
  </w:num>
  <w:num w:numId="34">
    <w:abstractNumId w:val="35"/>
  </w:num>
  <w:num w:numId="35">
    <w:abstractNumId w:val="34"/>
  </w:num>
  <w:num w:numId="36">
    <w:abstractNumId w:val="17"/>
  </w:num>
  <w:num w:numId="37">
    <w:abstractNumId w:val="28"/>
  </w:num>
  <w:num w:numId="3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02D40"/>
    <w:rsid w:val="000137B8"/>
    <w:rsid w:val="000143E4"/>
    <w:rsid w:val="00014859"/>
    <w:rsid w:val="00022833"/>
    <w:rsid w:val="00032D26"/>
    <w:rsid w:val="00056DE9"/>
    <w:rsid w:val="00073647"/>
    <w:rsid w:val="00096CC2"/>
    <w:rsid w:val="000B2BC8"/>
    <w:rsid w:val="000C6443"/>
    <w:rsid w:val="000D5AEA"/>
    <w:rsid w:val="000F1AD8"/>
    <w:rsid w:val="00102360"/>
    <w:rsid w:val="00102A9E"/>
    <w:rsid w:val="001134A2"/>
    <w:rsid w:val="001240A5"/>
    <w:rsid w:val="00127D27"/>
    <w:rsid w:val="0014534B"/>
    <w:rsid w:val="00146C7D"/>
    <w:rsid w:val="001744A9"/>
    <w:rsid w:val="001759E6"/>
    <w:rsid w:val="00187610"/>
    <w:rsid w:val="001B19B4"/>
    <w:rsid w:val="001B2A38"/>
    <w:rsid w:val="001D51C6"/>
    <w:rsid w:val="001E4EBD"/>
    <w:rsid w:val="001E7FE3"/>
    <w:rsid w:val="00245FAB"/>
    <w:rsid w:val="0027188D"/>
    <w:rsid w:val="002E3ED2"/>
    <w:rsid w:val="002F79FF"/>
    <w:rsid w:val="00315A31"/>
    <w:rsid w:val="003246CE"/>
    <w:rsid w:val="003258B6"/>
    <w:rsid w:val="00334204"/>
    <w:rsid w:val="00362134"/>
    <w:rsid w:val="00376456"/>
    <w:rsid w:val="00384DBA"/>
    <w:rsid w:val="00391ECE"/>
    <w:rsid w:val="003B64F7"/>
    <w:rsid w:val="004137A7"/>
    <w:rsid w:val="00466F45"/>
    <w:rsid w:val="00474F5A"/>
    <w:rsid w:val="0048628E"/>
    <w:rsid w:val="004B0239"/>
    <w:rsid w:val="004F15BB"/>
    <w:rsid w:val="005556CA"/>
    <w:rsid w:val="00573FEE"/>
    <w:rsid w:val="00581E2F"/>
    <w:rsid w:val="00586D5D"/>
    <w:rsid w:val="005C0B7B"/>
    <w:rsid w:val="005C544A"/>
    <w:rsid w:val="005E38D6"/>
    <w:rsid w:val="005F30BC"/>
    <w:rsid w:val="00617ACF"/>
    <w:rsid w:val="006257F0"/>
    <w:rsid w:val="00630750"/>
    <w:rsid w:val="006577B9"/>
    <w:rsid w:val="006709BC"/>
    <w:rsid w:val="006D31DE"/>
    <w:rsid w:val="006F0A01"/>
    <w:rsid w:val="006F7748"/>
    <w:rsid w:val="00707317"/>
    <w:rsid w:val="00727166"/>
    <w:rsid w:val="00733E65"/>
    <w:rsid w:val="00776C53"/>
    <w:rsid w:val="0079319A"/>
    <w:rsid w:val="00797A31"/>
    <w:rsid w:val="007A5C1B"/>
    <w:rsid w:val="007D037D"/>
    <w:rsid w:val="007F564A"/>
    <w:rsid w:val="008039E7"/>
    <w:rsid w:val="00807E40"/>
    <w:rsid w:val="0081508B"/>
    <w:rsid w:val="008C2121"/>
    <w:rsid w:val="008F7805"/>
    <w:rsid w:val="00902FFF"/>
    <w:rsid w:val="00905472"/>
    <w:rsid w:val="009109B4"/>
    <w:rsid w:val="0098322D"/>
    <w:rsid w:val="009A2D39"/>
    <w:rsid w:val="009C382C"/>
    <w:rsid w:val="009D7DC0"/>
    <w:rsid w:val="00A0789D"/>
    <w:rsid w:val="00A112DF"/>
    <w:rsid w:val="00A13BDF"/>
    <w:rsid w:val="00A61EE4"/>
    <w:rsid w:val="00A640C7"/>
    <w:rsid w:val="00A7073D"/>
    <w:rsid w:val="00A766F3"/>
    <w:rsid w:val="00A93DB3"/>
    <w:rsid w:val="00B31280"/>
    <w:rsid w:val="00B418D3"/>
    <w:rsid w:val="00B44BEB"/>
    <w:rsid w:val="00B46FD7"/>
    <w:rsid w:val="00B5044C"/>
    <w:rsid w:val="00B9285A"/>
    <w:rsid w:val="00BB488C"/>
    <w:rsid w:val="00C06F53"/>
    <w:rsid w:val="00C20346"/>
    <w:rsid w:val="00C3434E"/>
    <w:rsid w:val="00C71CD0"/>
    <w:rsid w:val="00C753D8"/>
    <w:rsid w:val="00CA2B8E"/>
    <w:rsid w:val="00CB73E4"/>
    <w:rsid w:val="00CC7CC1"/>
    <w:rsid w:val="00CF0462"/>
    <w:rsid w:val="00CF69A6"/>
    <w:rsid w:val="00D214EE"/>
    <w:rsid w:val="00D70E0E"/>
    <w:rsid w:val="00D73C1B"/>
    <w:rsid w:val="00DD14BB"/>
    <w:rsid w:val="00DE7A32"/>
    <w:rsid w:val="00E06302"/>
    <w:rsid w:val="00E20DC1"/>
    <w:rsid w:val="00E220D0"/>
    <w:rsid w:val="00E235A7"/>
    <w:rsid w:val="00E32640"/>
    <w:rsid w:val="00E37324"/>
    <w:rsid w:val="00E469EB"/>
    <w:rsid w:val="00E57622"/>
    <w:rsid w:val="00E82D3D"/>
    <w:rsid w:val="00EA1463"/>
    <w:rsid w:val="00EB7577"/>
    <w:rsid w:val="00EF1A34"/>
    <w:rsid w:val="00F01325"/>
    <w:rsid w:val="00F02924"/>
    <w:rsid w:val="00F1435E"/>
    <w:rsid w:val="00F16AB7"/>
    <w:rsid w:val="00F22D96"/>
    <w:rsid w:val="00F30EE8"/>
    <w:rsid w:val="00F354D8"/>
    <w:rsid w:val="00F60D79"/>
    <w:rsid w:val="00F82E38"/>
    <w:rsid w:val="00FA2027"/>
    <w:rsid w:val="00FB2286"/>
    <w:rsid w:val="00FB7111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E2A249-A106-482D-AF60-ED48C88A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EA"/>
  </w:style>
  <w:style w:type="paragraph" w:styleId="Ttulo1">
    <w:name w:val="heading 1"/>
    <w:basedOn w:val="Normal"/>
    <w:next w:val="Normal"/>
    <w:link w:val="Ttulo1Car"/>
    <w:uiPriority w:val="9"/>
    <w:qFormat/>
    <w:rsid w:val="00D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82D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D3D"/>
    <w:rPr>
      <w:sz w:val="20"/>
      <w:szCs w:val="20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,Ref,de nota al pie,註腳內容"/>
    <w:basedOn w:val="Fuentedeprrafopredeter"/>
    <w:uiPriority w:val="99"/>
    <w:unhideWhenUsed/>
    <w:rsid w:val="00E82D3D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D3D"/>
  </w:style>
  <w:style w:type="paragraph" w:styleId="Encabezado">
    <w:name w:val="header"/>
    <w:basedOn w:val="Normal"/>
    <w:link w:val="Encabezado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D3D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9A2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9B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E7A32"/>
  </w:style>
  <w:style w:type="paragraph" w:styleId="Sinespaciado">
    <w:name w:val="No Spacing"/>
    <w:aliases w:val="Francesa"/>
    <w:link w:val="SinespaciadoCar"/>
    <w:uiPriority w:val="1"/>
    <w:qFormat/>
    <w:rsid w:val="00DE7A32"/>
    <w:pPr>
      <w:spacing w:after="0"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DE7A32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E20DC1"/>
    <w:pPr>
      <w:tabs>
        <w:tab w:val="left" w:pos="660"/>
        <w:tab w:val="right" w:leader="dot" w:pos="8828"/>
      </w:tabs>
      <w:spacing w:after="100"/>
      <w:ind w:left="709" w:hanging="709"/>
    </w:pPr>
  </w:style>
  <w:style w:type="character" w:styleId="Hipervnculo">
    <w:name w:val="Hyperlink"/>
    <w:basedOn w:val="Fuentedeprrafopredeter"/>
    <w:uiPriority w:val="99"/>
    <w:unhideWhenUsed/>
    <w:rsid w:val="00DE7A32"/>
    <w:rPr>
      <w:color w:val="0563C1" w:themeColor="hyperlink"/>
      <w:u w:val="single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E7A32"/>
  </w:style>
  <w:style w:type="paragraph" w:styleId="TDC2">
    <w:name w:val="toc 2"/>
    <w:basedOn w:val="Normal"/>
    <w:next w:val="Normal"/>
    <w:autoRedefine/>
    <w:uiPriority w:val="39"/>
    <w:unhideWhenUsed/>
    <w:rsid w:val="009C382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C382C"/>
    <w:pPr>
      <w:spacing w:after="100"/>
      <w:ind w:left="440"/>
    </w:pPr>
  </w:style>
  <w:style w:type="character" w:customStyle="1" w:styleId="A3">
    <w:name w:val="A3"/>
    <w:uiPriority w:val="99"/>
    <w:rsid w:val="00334204"/>
    <w:rPr>
      <w:color w:val="221E1F"/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334204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334204"/>
    <w:rPr>
      <w:color w:val="221E1F"/>
      <w:sz w:val="11"/>
      <w:szCs w:val="11"/>
    </w:rPr>
  </w:style>
  <w:style w:type="table" w:styleId="Tablaconcuadrcula">
    <w:name w:val="Table Grid"/>
    <w:basedOn w:val="Tablanormal"/>
    <w:uiPriority w:val="39"/>
    <w:rsid w:val="0047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">
    <w:name w:val="j"/>
    <w:basedOn w:val="Normal"/>
    <w:rsid w:val="00474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74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blanormal1">
    <w:name w:val="Plain Table 1"/>
    <w:basedOn w:val="Tablanormal"/>
    <w:uiPriority w:val="41"/>
    <w:rsid w:val="0047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1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95AD-4BDC-42BC-9247-BDAF6DF1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2017-08-25T18:08:00Z</cp:lastPrinted>
  <dcterms:created xsi:type="dcterms:W3CDTF">2018-10-16T00:40:00Z</dcterms:created>
  <dcterms:modified xsi:type="dcterms:W3CDTF">2019-02-07T15:57:00Z</dcterms:modified>
</cp:coreProperties>
</file>